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257D" w:rsidRDefault="00B81AC3">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Joint Schedule 7 (Financial Difficulties)</w:t>
      </w:r>
    </w:p>
    <w:p w:rsidR="000B257D" w:rsidRDefault="000B257D">
      <w:pPr>
        <w:keepNext/>
        <w:pBdr>
          <w:top w:val="nil"/>
          <w:left w:val="nil"/>
          <w:bottom w:val="nil"/>
          <w:right w:val="nil"/>
          <w:between w:val="nil"/>
        </w:pBdr>
        <w:rPr>
          <w:rFonts w:ascii="Arial" w:eastAsia="Arial" w:hAnsi="Arial" w:cs="Arial"/>
          <w:b/>
          <w:smallCaps/>
          <w:color w:val="000000"/>
          <w:sz w:val="36"/>
          <w:szCs w:val="36"/>
        </w:rPr>
      </w:pP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B257D" w:rsidRDefault="00B81AC3">
      <w:pPr>
        <w:numPr>
          <w:ilvl w:val="1"/>
          <w:numId w:val="4"/>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definitions shall apply:</w:t>
      </w:r>
    </w:p>
    <w:p w:rsidR="000B257D" w:rsidRDefault="000B257D">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“Applicable Financial Indicators”</w:t>
            </w:r>
          </w:p>
        </w:tc>
        <w:tc>
          <w:tcPr>
            <w:tcW w:w="5952" w:type="dxa"/>
          </w:tcPr>
          <w:p w:rsidR="000B257D" w:rsidRDefault="00B81AC3">
            <w:pPr>
              <w:keepNext/>
              <w:pBdr>
                <w:top w:val="nil"/>
                <w:left w:val="nil"/>
                <w:bottom w:val="nil"/>
                <w:right w:val="nil"/>
                <w:between w:val="nil"/>
              </w:pBdr>
              <w:spacing w:after="240"/>
              <w:ind w:left="141" w:hanging="150"/>
              <w:rPr>
                <w:rFonts w:ascii="Arial" w:eastAsia="Arial" w:hAnsi="Arial" w:cs="Arial"/>
                <w:smallCaps/>
                <w:color w:val="000000"/>
                <w:sz w:val="24"/>
                <w:szCs w:val="24"/>
              </w:rPr>
            </w:pPr>
            <w:r>
              <w:rPr>
                <w:rFonts w:ascii="Arial" w:eastAsia="Arial" w:hAnsi="Arial" w:cs="Arial"/>
                <w:color w:val="000000"/>
                <w:sz w:val="24"/>
                <w:szCs w:val="24"/>
              </w:rPr>
              <w:t xml:space="preserve">means the financial indicators from Paragraph </w:t>
            </w:r>
            <w:r>
              <w:rPr>
                <w:rFonts w:ascii="Arial" w:eastAsia="Arial" w:hAnsi="Arial" w:cs="Arial"/>
                <w:smallCaps/>
                <w:color w:val="000000"/>
                <w:sz w:val="24"/>
                <w:szCs w:val="24"/>
              </w:rPr>
              <w:t xml:space="preserve">5.1 </w:t>
            </w:r>
            <w:r>
              <w:rPr>
                <w:rFonts w:ascii="Arial" w:eastAsia="Arial" w:hAnsi="Arial" w:cs="Arial"/>
                <w:color w:val="000000"/>
                <w:sz w:val="24"/>
                <w:szCs w:val="24"/>
              </w:rPr>
              <w:t>of this Schedule which are to apply to the Monitored Suppliers as set out in Paragraph 5.2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“Board”</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Supplier’s board of directors;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“Board Confirmation”</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written confirmation from the Board in accordance with Paragraph 8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“Bronze Contract”</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 Call-Off Contract categorised as a Bronze contract using the Cabinet Office Contract Tiering Tool;</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“Cabinet Office Markets and Suppliers Team”</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UK Government’s team responsible for managing the relationship between government and its Strategic Suppliers, or any replacement or successor body carrying out the same function;</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the minimum credit rating level for each entity in the FDE Group as set out in Annex 1 to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“FDE Group”</w:t>
            </w:r>
          </w:p>
        </w:tc>
        <w:tc>
          <w:tcPr>
            <w:tcW w:w="5952" w:type="dxa"/>
          </w:tcPr>
          <w:p w:rsidR="000B257D" w:rsidRDefault="00B81AC3" w:rsidP="001D0CF1">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 xml:space="preserve">means </w:t>
            </w:r>
            <w:r w:rsidRPr="001D0CF1">
              <w:rPr>
                <w:rFonts w:ascii="Arial" w:eastAsia="Arial" w:hAnsi="Arial" w:cs="Arial"/>
                <w:color w:val="000000"/>
                <w:sz w:val="24"/>
                <w:szCs w:val="24"/>
              </w:rPr>
              <w:t xml:space="preserve">the </w:t>
            </w:r>
            <w:r w:rsidR="001D0CF1" w:rsidRPr="001D0CF1">
              <w:rPr>
                <w:rFonts w:ascii="Arial" w:eastAsia="Arial" w:hAnsi="Arial" w:cs="Arial"/>
                <w:color w:val="000000"/>
                <w:sz w:val="24"/>
                <w:szCs w:val="24"/>
              </w:rPr>
              <w:t>Supplier</w:t>
            </w:r>
            <w:r w:rsidR="00955094">
              <w:rPr>
                <w:rFonts w:ascii="Arial" w:eastAsia="Arial" w:hAnsi="Arial" w:cs="Arial"/>
                <w:color w:val="000000"/>
                <w:sz w:val="24"/>
                <w:szCs w:val="24"/>
              </w:rPr>
              <w:t xml:space="preserve"> [Monitored Suppliers]</w:t>
            </w:r>
            <w:r w:rsidR="001D0CF1" w:rsidRPr="001D0CF1">
              <w:rPr>
                <w:rFonts w:ascii="Arial" w:eastAsia="Arial" w:hAnsi="Arial" w:cs="Arial"/>
                <w:color w:val="000000"/>
                <w:sz w:val="24"/>
                <w:szCs w:val="24"/>
              </w:rPr>
              <w:t>.</w:t>
            </w:r>
            <w:bookmarkStart w:id="0" w:name="_GoBack"/>
            <w:bookmarkEnd w:id="0"/>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Any of the events listed in Paragraph 3.1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Distress Remediation Plan”</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continued performance and delivery of the Deliverables in accordance with the Contract in the event that a Financial Distress Event occurs;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bookmarkStart w:id="1" w:name="_3dy6vkm" w:colFirst="0" w:colLast="0"/>
            <w:bookmarkEnd w:id="1"/>
            <w:r>
              <w:rPr>
                <w:rFonts w:ascii="Arial" w:eastAsia="Arial" w:hAnsi="Arial" w:cs="Arial"/>
                <w:b/>
                <w:color w:val="000000"/>
                <w:sz w:val="24"/>
                <w:szCs w:val="24"/>
              </w:rPr>
              <w:t>“Financial Indicators”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Target Thresholds”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target thresholds for each of the Financial Indicators set out at paragraph 5.1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“Monitored Suppliers”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those entities specified at paragraph 5.2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lastRenderedPageBreak/>
              <w:t>“Rating Agencies”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The rating agencies listed in Annex 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 xml:space="preserve">means those suppliers to government listed at </w:t>
            </w:r>
            <w:hyperlink r:id="rId7">
              <w:r>
                <w:rPr>
                  <w:rFonts w:ascii="Arial" w:eastAsia="Arial" w:hAnsi="Arial" w:cs="Arial"/>
                  <w:color w:val="000000"/>
                  <w:sz w:val="24"/>
                  <w:szCs w:val="24"/>
                </w:rPr>
                <w:t>https://www.gov.uk/government/publications/strategic-suppliers</w:t>
              </w:r>
            </w:hyperlink>
            <w:r>
              <w:rPr>
                <w:rFonts w:ascii="Arial" w:eastAsia="Arial" w:hAnsi="Arial" w:cs="Arial"/>
                <w:color w:val="000000"/>
                <w:sz w:val="24"/>
                <w:szCs w:val="24"/>
              </w:rPr>
              <w:t>.</w:t>
            </w:r>
          </w:p>
        </w:tc>
      </w:tr>
    </w:tbl>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0B257D" w:rsidRDefault="00B81AC3">
      <w:pPr>
        <w:numPr>
          <w:ilvl w:val="1"/>
          <w:numId w:val="4"/>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The Supplier warrants and represents to the Relevant Authority for the benefit of the Relevant Authority that as at the Effective Date: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long term credit ratings issued for each entity in the FDE Group by each of the Rating Agencies are as set out in Annex 2 to this Schedule;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regularly monitor the credit ratings of each entity in the FDE Group with the Rating Agencies;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Each report submitted by the Supplier pursuant to paragraph 2.3.2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be a single report with separate sections for each of the FDE Group entities;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key financial and other supporting information (including any accounts data that has been relied on) as separate annexes;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a history of the Financial Indicators reported by the Supplier in graph form to enable the Relevant Authority to easily analyse and assess the trends in financial performance.</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following shall be Financial Distress Events: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 FDE Group entity dropping below the applicable Credit Rating Threshold;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issuing a profits warning to a stock exchange or making any other public announcement, in each case about a material deterioration in its financial position or prospects;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 FDE Group entity;</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committing a material breach of covenant to its lenders;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any of the following:</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non-payment by an FDE Group entity of any financial indebtedness;</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any financial indebtedness of an FDE Group entity becoming due as a result of an event of default;</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cancellation or suspension of any financial indebtedness in respect of an FDE Group entity; or</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lastRenderedPageBreak/>
        <w:t>the external auditor of an FDE Group entity expressing a qualified opinion on, or including an emphasis of matter in, its opinion on the statutory accounts of that FDE entity;</w:t>
      </w:r>
    </w:p>
    <w:p w:rsidR="000B257D" w:rsidRDefault="00B81AC3">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0B257D" w:rsidRDefault="00B81AC3">
      <w:pPr>
        <w:numPr>
          <w:ilvl w:val="2"/>
          <w:numId w:val="4"/>
        </w:numPr>
        <w:pBdr>
          <w:top w:val="nil"/>
          <w:left w:val="nil"/>
          <w:bottom w:val="nil"/>
          <w:right w:val="nil"/>
          <w:between w:val="nil"/>
        </w:pBdr>
        <w:tabs>
          <w:tab w:val="left" w:pos="1985"/>
        </w:tabs>
        <w:spacing w:before="120" w:after="120"/>
        <w:rPr>
          <w:b/>
          <w:color w:val="000000"/>
        </w:rPr>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rectify such late or non-payment; 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demonstrate to the Relevant Authority’s reasonable satisfaction that there is a valid reason for late or non-payment.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(and shall procure that any Monitored Supplier, the Guarantor and/or any relevant Key Sub-contractor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w:t>
      </w:r>
      <w:r>
        <w:rPr>
          <w:rFonts w:ascii="Arial" w:eastAsia="Arial" w:hAnsi="Arial" w:cs="Arial"/>
          <w:color w:val="000000"/>
          <w:sz w:val="24"/>
          <w:szCs w:val="24"/>
        </w:rPr>
        <w:lastRenderedPageBreak/>
        <w:t>as the Relevant Authority may permit and notify to the Supplier in writing); and</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Following approval of the Financial Distress Remediation Plan by the Relevant Authority, the Supplier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on a regular basis (which shall not be less than fortnightly):</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updates are made to the Financial Distress Remediation Plan in accordance with Paragraph 4.6.1, submit an updated Financial Distress Remediation Plan to the Relevant Authority for its approval, and the provisions of Paragraphs 4.4 and 4.5 </w:t>
      </w:r>
      <w:r>
        <w:rPr>
          <w:rFonts w:ascii="Arial" w:eastAsia="Arial" w:hAnsi="Arial" w:cs="Arial"/>
          <w:color w:val="000000"/>
          <w:sz w:val="24"/>
          <w:szCs w:val="24"/>
        </w:rPr>
        <w:lastRenderedPageBreak/>
        <w:t>shall apply to the review and approval process for the updated Financial Distress Remediation Plan;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r w:rsidR="00FE0298">
        <w:rPr>
          <w:rFonts w:ascii="Arial" w:eastAsia="Arial" w:hAnsi="Arial" w:cs="Arial"/>
          <w:color w:val="000000"/>
          <w:sz w:val="24"/>
          <w:szCs w:val="24"/>
        </w:rPr>
        <w:br/>
      </w:r>
      <w:r w:rsidR="00FE0298">
        <w:rPr>
          <w:rFonts w:ascii="Arial" w:eastAsia="Arial" w:hAnsi="Arial" w:cs="Arial"/>
          <w:color w:val="000000"/>
          <w:sz w:val="24"/>
          <w:szCs w:val="24"/>
        </w:rPr>
        <w:br/>
      </w:r>
      <w:r w:rsidR="00FE0298">
        <w:rPr>
          <w:rFonts w:ascii="Arial" w:eastAsia="Arial" w:hAnsi="Arial" w:cs="Arial"/>
          <w:color w:val="000000"/>
          <w:sz w:val="24"/>
          <w:szCs w:val="24"/>
        </w:rPr>
        <w:br/>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9717EF" w:rsidRDefault="00B81AC3" w:rsidP="00A5625B">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sidRPr="00380DCC">
        <w:rPr>
          <w:rFonts w:ascii="Arial" w:eastAsia="Arial" w:hAnsi="Arial" w:cs="Arial"/>
          <w:color w:val="000000"/>
          <w:sz w:val="24"/>
          <w:szCs w:val="24"/>
        </w:rPr>
        <w:t>Subject to the calculation methodology set out at Annex 3 of this Schedule, the Financial Indicators and the corresponding calculations and threshol</w:t>
      </w:r>
      <w:r w:rsidRPr="00DD39DD">
        <w:rPr>
          <w:rFonts w:ascii="Arial" w:eastAsia="Arial" w:hAnsi="Arial" w:cs="Arial"/>
          <w:color w:val="000000"/>
          <w:sz w:val="24"/>
          <w:szCs w:val="24"/>
        </w:rPr>
        <w:t>ds used to determine whether a Financial Distress Event has occurred in respect of those Financial Indicators, shall be as</w:t>
      </w:r>
      <w:r>
        <w:rPr>
          <w:rFonts w:ascii="Arial" w:eastAsia="Arial" w:hAnsi="Arial" w:cs="Arial"/>
          <w:color w:val="000000"/>
          <w:sz w:val="24"/>
          <w:szCs w:val="24"/>
        </w:rPr>
        <w:t xml:space="preserve">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727"/>
        <w:gridCol w:w="425"/>
        <w:gridCol w:w="709"/>
        <w:gridCol w:w="2925"/>
      </w:tblGrid>
      <w:tr w:rsidR="000B257D" w:rsidTr="00A5625B">
        <w:tc>
          <w:tcPr>
            <w:tcW w:w="2253"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lastRenderedPageBreak/>
              <w:t>Financial Indicator</w:t>
            </w:r>
          </w:p>
        </w:tc>
        <w:tc>
          <w:tcPr>
            <w:tcW w:w="1977"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861" w:type="dxa"/>
            <w:gridSpan w:val="3"/>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2925"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bookmarkStart w:id="2" w:name="_1ci93xb" w:colFirst="0" w:colLast="0"/>
            <w:bookmarkEnd w:id="2"/>
            <w:r>
              <w:rPr>
                <w:rFonts w:ascii="Arial" w:eastAsia="Arial" w:hAnsi="Arial" w:cs="Arial"/>
                <w:b/>
                <w:color w:val="000000"/>
                <w:sz w:val="24"/>
                <w:szCs w:val="24"/>
              </w:rPr>
              <w:t xml:space="preserve">Monitoring and Reporting Frequency </w:t>
            </w:r>
          </w:p>
        </w:tc>
      </w:tr>
      <w:tr w:rsidR="00DC55E9" w:rsidTr="00DC55E9">
        <w:tc>
          <w:tcPr>
            <w:tcW w:w="2253"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b/>
                <w:color w:val="000000"/>
                <w:sz w:val="24"/>
                <w:szCs w:val="24"/>
              </w:rPr>
            </w:pPr>
          </w:p>
        </w:tc>
        <w:tc>
          <w:tcPr>
            <w:tcW w:w="1977"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i/>
                <w:color w:val="000000"/>
                <w:sz w:val="24"/>
                <w:szCs w:val="24"/>
                <w:highlight w:val="yellow"/>
              </w:rPr>
            </w:pPr>
          </w:p>
        </w:tc>
        <w:tc>
          <w:tcPr>
            <w:tcW w:w="727"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R</w:t>
            </w:r>
          </w:p>
        </w:tc>
        <w:tc>
          <w:tcPr>
            <w:tcW w:w="425"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A</w:t>
            </w:r>
          </w:p>
        </w:tc>
        <w:tc>
          <w:tcPr>
            <w:tcW w:w="709"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G</w:t>
            </w:r>
          </w:p>
        </w:tc>
        <w:tc>
          <w:tcPr>
            <w:tcW w:w="2925"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i/>
                <w:color w:val="000000"/>
                <w:sz w:val="24"/>
                <w:szCs w:val="24"/>
              </w:rPr>
            </w:pPr>
          </w:p>
        </w:tc>
      </w:tr>
      <w:tr w:rsidR="00DC55E9" w:rsidTr="00DC55E9">
        <w:tc>
          <w:tcPr>
            <w:tcW w:w="2253" w:type="dxa"/>
            <w:shd w:val="clear" w:color="auto" w:fill="FFFFFF" w:themeFill="background1"/>
            <w:vAlign w:val="center"/>
          </w:tcPr>
          <w:p w:rsidR="004F1C47" w:rsidRPr="00FE0298" w:rsidRDefault="004F1C47">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1 [Turnover Ratio]</w:t>
            </w:r>
          </w:p>
        </w:tc>
        <w:tc>
          <w:tcPr>
            <w:tcW w:w="1977" w:type="dxa"/>
            <w:shd w:val="clear" w:color="auto" w:fill="FFFFFF" w:themeFill="background1"/>
            <w:vAlign w:val="center"/>
          </w:tcPr>
          <w:p w:rsidR="004F1C47" w:rsidRPr="00FE0298" w:rsidRDefault="004F1C47">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[Turnover Ratio = Annual Revenue / Expected Annual Contract Value</w:t>
            </w:r>
          </w:p>
        </w:tc>
        <w:tc>
          <w:tcPr>
            <w:tcW w:w="727" w:type="dxa"/>
            <w:shd w:val="clear" w:color="auto" w:fill="FFFFFF" w:themeFill="background1"/>
            <w:vAlign w:val="center"/>
          </w:tcPr>
          <w:p w:rsidR="004F1C47"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4F1C47" w:rsidRPr="00FE0298">
              <w:rPr>
                <w:rFonts w:ascii="Arial" w:eastAsia="Arial" w:hAnsi="Arial" w:cs="Arial"/>
                <w:i/>
                <w:color w:val="000000"/>
                <w:sz w:val="18"/>
                <w:szCs w:val="24"/>
              </w:rPr>
              <w:t>1.5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4F1C47" w:rsidRPr="00FE0298" w:rsidRDefault="004F1C47"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p>
        </w:tc>
        <w:tc>
          <w:tcPr>
            <w:tcW w:w="709" w:type="dxa"/>
            <w:shd w:val="clear" w:color="auto" w:fill="FFFFFF" w:themeFill="background1"/>
            <w:vAlign w:val="center"/>
          </w:tcPr>
          <w:p w:rsidR="004F1C47"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4F1C47" w:rsidRPr="00FE0298">
              <w:rPr>
                <w:rFonts w:ascii="Arial" w:eastAsia="Arial" w:hAnsi="Arial" w:cs="Arial"/>
                <w:i/>
                <w:color w:val="000000"/>
                <w:sz w:val="18"/>
                <w:szCs w:val="24"/>
              </w:rPr>
              <w:t>2</w:t>
            </w:r>
            <w:r w:rsidRPr="00FE0298">
              <w:rPr>
                <w:rFonts w:ascii="Arial" w:eastAsia="Arial" w:hAnsi="Arial" w:cs="Arial"/>
                <w:i/>
                <w:color w:val="000000"/>
                <w:sz w:val="18"/>
                <w:szCs w:val="24"/>
              </w:rPr>
              <w:t>]</w:t>
            </w:r>
          </w:p>
        </w:tc>
        <w:tc>
          <w:tcPr>
            <w:tcW w:w="2925" w:type="dxa"/>
            <w:shd w:val="clear" w:color="auto" w:fill="FFFFFF" w:themeFill="background1"/>
            <w:vAlign w:val="center"/>
          </w:tcPr>
          <w:p w:rsidR="004F1C47" w:rsidRPr="00446B8E" w:rsidRDefault="004F1C47">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Tested and reported [yearly / half yearly] in arrears within [120 / 90] days of each [accounting reference date / half year end] based upon figures for the 12 months ending on the relevant [accounting reference date /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2</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[Operating Margin]</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OR</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[The higher of (a) the Operating Margin for the most recent 12 month period and (b) the average Operating Margin for the last two 12 month periods]</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[Operating Margin = Operating Profit / Revenue]</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10%</w:t>
            </w:r>
            <w:r w:rsidRPr="00FE0298">
              <w:rPr>
                <w:rFonts w:ascii="Arial" w:eastAsia="Arial" w:hAnsi="Arial" w:cs="Arial"/>
                <w:i/>
                <w:color w:val="000000"/>
                <w:sz w:val="18"/>
                <w:szCs w:val="24"/>
              </w:rPr>
              <w:t>]</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Tested and reported [yearly / half yearly] in arrears within [120 / 90] days of each [accounting reference date / half year end] based upon figures for the 12 months ending on the relevant [accounting reference date /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color w:val="000000"/>
                <w:sz w:val="24"/>
                <w:szCs w:val="24"/>
              </w:rPr>
              <w:t xml:space="preserve"> </w:t>
            </w:r>
            <w:r w:rsidRPr="00FE0298">
              <w:rPr>
                <w:rFonts w:ascii="Arial" w:eastAsia="Arial" w:hAnsi="Arial" w:cs="Arial"/>
                <w:b/>
                <w:sz w:val="24"/>
                <w:szCs w:val="24"/>
              </w:rPr>
              <w:t>3(A)</w:t>
            </w:r>
          </w:p>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rPr>
              <w:t>[Free Cash Flow to Net Debt Ratio]</w:t>
            </w:r>
          </w:p>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rPr>
              <w:t>OR 3(B)</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Debt to EBITDA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rPr>
              <w:t>[Free Cash Flow to Net Debt Ratio = Free Cash Flow / Net Debt]</w:t>
            </w:r>
          </w:p>
          <w:p w:rsidR="00772525" w:rsidRPr="00FE0298" w:rsidRDefault="00772525">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rPr>
              <w:t>OR</w:t>
            </w:r>
          </w:p>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sz w:val="24"/>
                <w:szCs w:val="24"/>
              </w:rPr>
              <w:t xml:space="preserve">[Net </w:t>
            </w:r>
            <w:r w:rsidRPr="00FE0298">
              <w:rPr>
                <w:rFonts w:ascii="Arial" w:eastAsia="Arial" w:hAnsi="Arial" w:cs="Arial"/>
                <w:i/>
                <w:color w:val="000000"/>
                <w:sz w:val="24"/>
                <w:szCs w:val="24"/>
              </w:rPr>
              <w:t>Debt to EBITDA ratio = Net Debt / EBITDA]</w:t>
            </w:r>
          </w:p>
        </w:tc>
        <w:tc>
          <w:tcPr>
            <w:tcW w:w="727" w:type="dxa"/>
            <w:vAlign w:val="center"/>
          </w:tcPr>
          <w:p w:rsidR="001B0803" w:rsidRPr="00FE0298" w:rsidRDefault="001B0803" w:rsidP="001B0803">
            <w:pPr>
              <w:pBdr>
                <w:top w:val="nil"/>
                <w:left w:val="nil"/>
                <w:bottom w:val="nil"/>
                <w:right w:val="nil"/>
                <w:between w:val="nil"/>
              </w:pBdr>
              <w:spacing w:before="100" w:after="200"/>
              <w:rPr>
                <w:rFonts w:ascii="Arial" w:eastAsia="Arial" w:hAnsi="Arial" w:cs="Arial"/>
                <w:i/>
                <w:sz w:val="18"/>
                <w:szCs w:val="24"/>
              </w:rPr>
            </w:pPr>
          </w:p>
          <w:p w:rsidR="00772525" w:rsidRPr="00FE0298" w:rsidRDefault="00DC55E9" w:rsidP="001B0803">
            <w:pPr>
              <w:pBdr>
                <w:top w:val="nil"/>
                <w:left w:val="nil"/>
                <w:bottom w:val="nil"/>
                <w:right w:val="nil"/>
                <w:between w:val="nil"/>
              </w:pBdr>
              <w:spacing w:before="100" w:after="200"/>
              <w:rPr>
                <w:rFonts w:ascii="Arial" w:eastAsia="Arial" w:hAnsi="Arial" w:cs="Arial"/>
                <w:i/>
                <w:sz w:val="18"/>
                <w:szCs w:val="24"/>
              </w:rPr>
            </w:pPr>
            <w:r w:rsidRPr="00FE0298">
              <w:rPr>
                <w:rFonts w:ascii="Arial" w:eastAsia="Arial" w:hAnsi="Arial" w:cs="Arial"/>
                <w:i/>
                <w:sz w:val="18"/>
                <w:szCs w:val="24"/>
              </w:rPr>
              <w:t>[</w:t>
            </w:r>
            <w:r w:rsidR="00772525" w:rsidRPr="00FE0298">
              <w:rPr>
                <w:rFonts w:ascii="Arial" w:eastAsia="Arial" w:hAnsi="Arial" w:cs="Arial"/>
                <w:i/>
                <w:sz w:val="18"/>
                <w:szCs w:val="24"/>
              </w:rPr>
              <w:t>5%</w:t>
            </w:r>
            <w:r w:rsidRPr="00FE0298">
              <w:rPr>
                <w:rFonts w:ascii="Arial" w:eastAsia="Arial" w:hAnsi="Arial" w:cs="Arial"/>
                <w:i/>
                <w:sz w:val="18"/>
                <w:szCs w:val="24"/>
              </w:rPr>
              <w:t>]</w:t>
            </w: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p>
          <w:p w:rsidR="001B0803" w:rsidRPr="00FE0298" w:rsidRDefault="001B0803" w:rsidP="00DC55E9">
            <w:pPr>
              <w:pBdr>
                <w:top w:val="nil"/>
                <w:left w:val="nil"/>
                <w:bottom w:val="nil"/>
                <w:right w:val="nil"/>
                <w:between w:val="nil"/>
              </w:pBdr>
              <w:spacing w:before="100" w:after="200"/>
              <w:jc w:val="center"/>
              <w:rPr>
                <w:rFonts w:ascii="Arial" w:eastAsia="Arial" w:hAnsi="Arial" w:cs="Arial"/>
                <w:i/>
                <w:sz w:val="18"/>
                <w:szCs w:val="24"/>
              </w:rPr>
            </w:pP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r w:rsidRPr="00FE0298">
              <w:rPr>
                <w:rFonts w:ascii="Arial" w:eastAsia="Arial" w:hAnsi="Arial" w:cs="Arial"/>
                <w:i/>
                <w:sz w:val="18"/>
                <w:szCs w:val="24"/>
              </w:rPr>
              <w:t>OR</w:t>
            </w: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p>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7030A0"/>
                <w:sz w:val="18"/>
                <w:szCs w:val="24"/>
              </w:rPr>
            </w:pPr>
            <w:r w:rsidRPr="00FE0298">
              <w:rPr>
                <w:rFonts w:ascii="Arial" w:eastAsia="Arial" w:hAnsi="Arial" w:cs="Arial"/>
                <w:i/>
                <w:sz w:val="18"/>
                <w:szCs w:val="24"/>
              </w:rPr>
              <w:t>[</w:t>
            </w:r>
            <w:r w:rsidR="00772525" w:rsidRPr="00FE0298">
              <w:rPr>
                <w:rFonts w:ascii="Arial" w:eastAsia="Arial" w:hAnsi="Arial" w:cs="Arial"/>
                <w:i/>
                <w:sz w:val="18"/>
                <w:szCs w:val="24"/>
              </w:rPr>
              <w:t>3.5</w:t>
            </w:r>
            <w:r w:rsidRPr="00FE0298">
              <w:rPr>
                <w:rFonts w:ascii="Arial" w:eastAsia="Arial" w:hAnsi="Arial" w:cs="Arial"/>
                <w:i/>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1B0803" w:rsidRPr="00FE0298" w:rsidRDefault="00DC55E9" w:rsidP="001B0803">
            <w:pPr>
              <w:pBdr>
                <w:top w:val="nil"/>
                <w:left w:val="nil"/>
                <w:bottom w:val="nil"/>
                <w:right w:val="nil"/>
                <w:between w:val="nil"/>
              </w:pBdr>
              <w:spacing w:before="100" w:after="200"/>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1</w:t>
            </w:r>
            <w:r w:rsidR="001B0803" w:rsidRPr="00FE0298">
              <w:rPr>
                <w:rFonts w:ascii="Arial" w:eastAsia="Arial" w:hAnsi="Arial" w:cs="Arial"/>
                <w:i/>
                <w:color w:val="000000"/>
                <w:sz w:val="18"/>
                <w:szCs w:val="24"/>
              </w:rPr>
              <w:t>5</w:t>
            </w:r>
            <w:r w:rsidR="00772525" w:rsidRPr="00FE0298">
              <w:rPr>
                <w:rFonts w:ascii="Arial" w:eastAsia="Arial" w:hAnsi="Arial" w:cs="Arial"/>
                <w:i/>
                <w:color w:val="000000"/>
                <w:sz w:val="18"/>
                <w:szCs w:val="24"/>
              </w:rPr>
              <w:t>%</w:t>
            </w:r>
            <w:r w:rsidRPr="00FE0298">
              <w:rPr>
                <w:rFonts w:ascii="Arial" w:eastAsia="Arial" w:hAnsi="Arial" w:cs="Arial"/>
                <w:i/>
                <w:color w:val="000000"/>
                <w:sz w:val="18"/>
                <w:szCs w:val="24"/>
              </w:rPr>
              <w:t>]</w:t>
            </w:r>
          </w:p>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772525" w:rsidRPr="00FE0298" w:rsidRDefault="00772525" w:rsidP="001B0803">
            <w:pPr>
              <w:pBdr>
                <w:top w:val="nil"/>
                <w:left w:val="nil"/>
                <w:bottom w:val="nil"/>
                <w:right w:val="nil"/>
                <w:between w:val="nil"/>
              </w:pBdr>
              <w:spacing w:before="100" w:after="200"/>
              <w:rPr>
                <w:rFonts w:ascii="Arial" w:eastAsia="Arial" w:hAnsi="Arial" w:cs="Arial"/>
                <w:i/>
                <w:color w:val="000000"/>
                <w:sz w:val="18"/>
                <w:szCs w:val="24"/>
              </w:rPr>
            </w:pPr>
            <w:r w:rsidRPr="00FE0298">
              <w:rPr>
                <w:rFonts w:ascii="Arial" w:eastAsia="Arial" w:hAnsi="Arial" w:cs="Arial"/>
                <w:i/>
                <w:color w:val="000000"/>
                <w:sz w:val="18"/>
                <w:szCs w:val="24"/>
              </w:rPr>
              <w:t>OR</w:t>
            </w:r>
          </w:p>
          <w:p w:rsidR="00DC55E9"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p>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2.5</w:t>
            </w:r>
            <w:r w:rsidRPr="00FE0298">
              <w:rPr>
                <w:rFonts w:ascii="Arial" w:eastAsia="Arial" w:hAnsi="Arial" w:cs="Arial"/>
                <w:i/>
                <w:color w:val="000000"/>
                <w:sz w:val="18"/>
                <w:szCs w:val="24"/>
              </w:rPr>
              <w:t>]</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 xml:space="preserve">Tested and reported [yearly </w:t>
            </w:r>
            <w:r w:rsidRPr="00446B8E">
              <w:rPr>
                <w:rFonts w:ascii="Arial" w:eastAsia="Arial" w:hAnsi="Arial" w:cs="Arial"/>
                <w:i/>
                <w:color w:val="7030A0"/>
                <w:sz w:val="24"/>
                <w:szCs w:val="24"/>
              </w:rPr>
              <w:t xml:space="preserve">/ half yearly] </w:t>
            </w:r>
            <w:r w:rsidRPr="00446B8E">
              <w:rPr>
                <w:rFonts w:ascii="Arial" w:eastAsia="Arial" w:hAnsi="Arial" w:cs="Arial"/>
                <w:i/>
                <w:color w:val="000000"/>
                <w:sz w:val="24"/>
                <w:szCs w:val="24"/>
              </w:rPr>
              <w:t xml:space="preserve">in arrears within </w:t>
            </w:r>
            <w:r w:rsidRPr="00446B8E">
              <w:rPr>
                <w:rFonts w:ascii="Arial" w:eastAsia="Arial" w:hAnsi="Arial" w:cs="Arial"/>
                <w:i/>
                <w:color w:val="7030A0"/>
                <w:sz w:val="24"/>
                <w:szCs w:val="24"/>
              </w:rPr>
              <w:t xml:space="preserve">[120 </w:t>
            </w:r>
            <w:r w:rsidRPr="00446B8E">
              <w:rPr>
                <w:rFonts w:ascii="Arial" w:eastAsia="Arial" w:hAnsi="Arial" w:cs="Arial"/>
                <w:i/>
                <w:color w:val="000000"/>
                <w:sz w:val="24"/>
                <w:szCs w:val="24"/>
              </w:rPr>
              <w:t xml:space="preserve">/ 90] days of each [accounting reference date </w:t>
            </w:r>
            <w:r w:rsidRPr="00446B8E">
              <w:rPr>
                <w:rFonts w:ascii="Arial" w:eastAsia="Arial" w:hAnsi="Arial" w:cs="Arial"/>
                <w:i/>
                <w:color w:val="7030A0"/>
                <w:sz w:val="24"/>
                <w:szCs w:val="24"/>
              </w:rPr>
              <w:t>/ half year end]</w:t>
            </w:r>
            <w:r w:rsidRPr="00446B8E">
              <w:rPr>
                <w:rFonts w:ascii="Arial" w:eastAsia="Arial" w:hAnsi="Arial" w:cs="Arial"/>
                <w:i/>
                <w:color w:val="000000"/>
                <w:sz w:val="24"/>
                <w:szCs w:val="24"/>
              </w:rPr>
              <w:t xml:space="preserve"> based upon </w:t>
            </w:r>
            <w:r w:rsidRPr="00446B8E">
              <w:rPr>
                <w:rFonts w:ascii="Arial" w:eastAsia="Arial" w:hAnsi="Arial" w:cs="Arial"/>
                <w:i/>
                <w:color w:val="7030A0"/>
                <w:sz w:val="24"/>
                <w:szCs w:val="24"/>
              </w:rPr>
              <w:t>[Free Cash Flow /</w:t>
            </w:r>
            <w:r w:rsidRPr="00446B8E">
              <w:rPr>
                <w:rFonts w:ascii="Arial" w:eastAsia="Arial" w:hAnsi="Arial" w:cs="Arial"/>
                <w:i/>
                <w:color w:val="000000"/>
                <w:sz w:val="24"/>
                <w:szCs w:val="24"/>
              </w:rPr>
              <w:t xml:space="preserve"> EBITDA] for the 12 months ending on, and Net Debt at, the relevant [accounting reference date </w:t>
            </w:r>
            <w:r w:rsidRPr="00446B8E">
              <w:rPr>
                <w:rFonts w:ascii="Arial" w:eastAsia="Arial" w:hAnsi="Arial" w:cs="Arial"/>
                <w:i/>
                <w:color w:val="7030A0"/>
                <w:sz w:val="24"/>
                <w:szCs w:val="24"/>
              </w:rPr>
              <w:t>/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 xml:space="preserve"> 4</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lastRenderedPageBreak/>
              <w:t>[Net Debt + Net Pension Deficit to EBITDA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lastRenderedPageBreak/>
              <w:t xml:space="preserve">[Net Debt + Net Pension Deficit to EBITDA Ratio </w:t>
            </w:r>
            <w:r w:rsidRPr="00FE0298">
              <w:rPr>
                <w:rFonts w:ascii="Arial" w:eastAsia="Arial" w:hAnsi="Arial" w:cs="Arial"/>
                <w:i/>
                <w:color w:val="000000"/>
                <w:sz w:val="24"/>
                <w:szCs w:val="24"/>
              </w:rPr>
              <w:lastRenderedPageBreak/>
              <w:t>= (Net Debt + Net Pension Deficit) / EBITDA]</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lastRenderedPageBreak/>
              <w:t>[</w:t>
            </w:r>
            <w:r w:rsidR="00772525" w:rsidRPr="00FE0298">
              <w:rPr>
                <w:rFonts w:ascii="Arial" w:eastAsia="Arial" w:hAnsi="Arial" w:cs="Arial"/>
                <w:i/>
                <w:color w:val="000000"/>
                <w:sz w:val="18"/>
                <w:szCs w:val="24"/>
              </w:rPr>
              <w:t>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4</w:t>
            </w:r>
            <w:r w:rsidRPr="00FE0298">
              <w:rPr>
                <w:rFonts w:ascii="Arial" w:eastAsia="Arial" w:hAnsi="Arial" w:cs="Arial"/>
                <w:i/>
                <w:color w:val="000000"/>
                <w:sz w:val="18"/>
                <w:szCs w:val="24"/>
              </w:rPr>
              <w:t>]</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 xml:space="preserve">Tested and reported yearly in arrears within </w:t>
            </w:r>
            <w:r w:rsidRPr="00446B8E">
              <w:rPr>
                <w:rFonts w:ascii="Arial" w:eastAsia="Arial" w:hAnsi="Arial" w:cs="Arial"/>
                <w:i/>
                <w:color w:val="F79646"/>
                <w:sz w:val="24"/>
                <w:szCs w:val="24"/>
              </w:rPr>
              <w:t xml:space="preserve">90 </w:t>
            </w:r>
            <w:r w:rsidRPr="00446B8E">
              <w:rPr>
                <w:rFonts w:ascii="Arial" w:eastAsia="Arial" w:hAnsi="Arial" w:cs="Arial"/>
                <w:i/>
                <w:color w:val="000000"/>
                <w:sz w:val="24"/>
                <w:szCs w:val="24"/>
              </w:rPr>
              <w:t xml:space="preserve">days of each accounting </w:t>
            </w:r>
            <w:r w:rsidRPr="00446B8E">
              <w:rPr>
                <w:rFonts w:ascii="Arial" w:eastAsia="Arial" w:hAnsi="Arial" w:cs="Arial"/>
                <w:i/>
                <w:color w:val="000000"/>
                <w:sz w:val="24"/>
                <w:szCs w:val="24"/>
              </w:rPr>
              <w:lastRenderedPageBreak/>
              <w:t>reference date based upon EBITDA for the 12 months ending on, and the Net Debt and Net Pension Deficit at, the relevant accounting reference date</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lastRenderedPageBreak/>
              <w:t xml:space="preserve"> 5</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Interest Paid Cover]</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[Net Interest Paid Cover = Earnings Before Interest and Tax / Net Interest Paid]</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3</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4.5</w:t>
            </w:r>
            <w:r w:rsidRPr="00FE0298">
              <w:rPr>
                <w:rFonts w:ascii="Arial" w:eastAsia="Arial" w:hAnsi="Arial" w:cs="Arial"/>
                <w:i/>
                <w:color w:val="000000"/>
                <w:sz w:val="18"/>
                <w:szCs w:val="24"/>
              </w:rPr>
              <w:t>]</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 xml:space="preserve">Tested and reported [yearly </w:t>
            </w:r>
            <w:r w:rsidRPr="00446B8E">
              <w:rPr>
                <w:rFonts w:ascii="Arial" w:eastAsia="Arial" w:hAnsi="Arial" w:cs="Arial"/>
                <w:i/>
                <w:color w:val="8064A2"/>
                <w:sz w:val="24"/>
                <w:szCs w:val="24"/>
              </w:rPr>
              <w:t xml:space="preserve">/ half yearly] </w:t>
            </w:r>
            <w:r w:rsidRPr="00446B8E">
              <w:rPr>
                <w:rFonts w:ascii="Arial" w:eastAsia="Arial" w:hAnsi="Arial" w:cs="Arial"/>
                <w:i/>
                <w:color w:val="000000"/>
                <w:sz w:val="24"/>
                <w:szCs w:val="24"/>
              </w:rPr>
              <w:t>in arrears within [</w:t>
            </w:r>
            <w:r w:rsidRPr="00446B8E">
              <w:rPr>
                <w:rFonts w:ascii="Arial" w:eastAsia="Arial" w:hAnsi="Arial" w:cs="Arial"/>
                <w:i/>
                <w:color w:val="8064A2"/>
                <w:sz w:val="24"/>
                <w:szCs w:val="24"/>
              </w:rPr>
              <w:t xml:space="preserve">120 / </w:t>
            </w:r>
            <w:r w:rsidRPr="00446B8E">
              <w:rPr>
                <w:rFonts w:ascii="Arial" w:eastAsia="Arial" w:hAnsi="Arial" w:cs="Arial"/>
                <w:i/>
                <w:color w:val="000000"/>
                <w:sz w:val="24"/>
                <w:szCs w:val="24"/>
              </w:rPr>
              <w:t xml:space="preserve">90] days of each [accounting reference date </w:t>
            </w:r>
            <w:r w:rsidRPr="00446B8E">
              <w:rPr>
                <w:rFonts w:ascii="Arial" w:eastAsia="Arial" w:hAnsi="Arial" w:cs="Arial"/>
                <w:i/>
                <w:color w:val="8064A2"/>
                <w:sz w:val="24"/>
                <w:szCs w:val="24"/>
              </w:rPr>
              <w:t>/ half year end</w:t>
            </w:r>
            <w:r w:rsidRPr="00446B8E">
              <w:rPr>
                <w:rFonts w:ascii="Arial" w:eastAsia="Arial" w:hAnsi="Arial" w:cs="Arial"/>
                <w:i/>
                <w:color w:val="000000"/>
                <w:sz w:val="24"/>
                <w:szCs w:val="24"/>
              </w:rPr>
              <w:t xml:space="preserve">] based upon figures for the 12 months ending on the relevant [accounting reference date </w:t>
            </w:r>
            <w:r w:rsidRPr="00446B8E">
              <w:rPr>
                <w:rFonts w:ascii="Arial" w:eastAsia="Arial" w:hAnsi="Arial" w:cs="Arial"/>
                <w:i/>
                <w:color w:val="8064A2"/>
                <w:sz w:val="24"/>
                <w:szCs w:val="24"/>
              </w:rPr>
              <w:t>/ half year end</w:t>
            </w:r>
            <w:r w:rsidRPr="00446B8E">
              <w:rPr>
                <w:rFonts w:ascii="Arial" w:eastAsia="Arial" w:hAnsi="Arial" w:cs="Arial"/>
                <w:i/>
                <w:color w:val="000000"/>
                <w:sz w:val="24"/>
                <w:szCs w:val="24"/>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 xml:space="preserve"> 6</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[Acid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[Acid Ratio = (Current Assets – Inventories) / Current Liabilities]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[0.8]</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[1]</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 xml:space="preserve">Tested and reported [yearly </w:t>
            </w:r>
            <w:r w:rsidRPr="00446B8E">
              <w:rPr>
                <w:rFonts w:ascii="Arial" w:eastAsia="Arial" w:hAnsi="Arial" w:cs="Arial"/>
                <w:i/>
                <w:color w:val="8064A2"/>
                <w:sz w:val="24"/>
                <w:szCs w:val="24"/>
              </w:rPr>
              <w:t>/ half yearly</w:t>
            </w:r>
            <w:r w:rsidRPr="00446B8E">
              <w:rPr>
                <w:rFonts w:ascii="Arial" w:eastAsia="Arial" w:hAnsi="Arial" w:cs="Arial"/>
                <w:i/>
                <w:color w:val="000000"/>
                <w:sz w:val="24"/>
                <w:szCs w:val="24"/>
              </w:rPr>
              <w:t>] in arrears within [</w:t>
            </w:r>
            <w:r w:rsidRPr="00446B8E">
              <w:rPr>
                <w:rFonts w:ascii="Arial" w:eastAsia="Arial" w:hAnsi="Arial" w:cs="Arial"/>
                <w:i/>
                <w:color w:val="8064A2"/>
                <w:sz w:val="24"/>
                <w:szCs w:val="24"/>
              </w:rPr>
              <w:t>120 /</w:t>
            </w:r>
            <w:r w:rsidRPr="00446B8E">
              <w:rPr>
                <w:rFonts w:ascii="Arial" w:eastAsia="Arial" w:hAnsi="Arial" w:cs="Arial"/>
                <w:i/>
                <w:color w:val="000000"/>
                <w:sz w:val="24"/>
                <w:szCs w:val="24"/>
              </w:rPr>
              <w:t xml:space="preserve">90] days of each [accounting reference date </w:t>
            </w:r>
            <w:r w:rsidRPr="00446B8E">
              <w:rPr>
                <w:rFonts w:ascii="Arial" w:eastAsia="Arial" w:hAnsi="Arial" w:cs="Arial"/>
                <w:i/>
                <w:color w:val="8064A2"/>
                <w:sz w:val="24"/>
                <w:szCs w:val="24"/>
              </w:rPr>
              <w:t>/ half year end</w:t>
            </w:r>
            <w:r w:rsidRPr="00446B8E">
              <w:rPr>
                <w:rFonts w:ascii="Arial" w:eastAsia="Arial" w:hAnsi="Arial" w:cs="Arial"/>
                <w:i/>
                <w:color w:val="000000"/>
                <w:sz w:val="24"/>
                <w:szCs w:val="24"/>
              </w:rPr>
              <w:t>] based upon figures at the relevant [accounting reference date</w:t>
            </w:r>
            <w:r w:rsidRPr="00446B8E">
              <w:rPr>
                <w:rFonts w:ascii="Arial" w:eastAsia="Arial" w:hAnsi="Arial" w:cs="Arial"/>
                <w:i/>
                <w:color w:val="8064A2"/>
                <w:sz w:val="24"/>
                <w:szCs w:val="24"/>
              </w:rPr>
              <w:t xml:space="preserve"> / half year end</w:t>
            </w:r>
            <w:r w:rsidRPr="00446B8E">
              <w:rPr>
                <w:rFonts w:ascii="Arial" w:eastAsia="Arial" w:hAnsi="Arial" w:cs="Arial"/>
                <w:i/>
                <w:color w:val="000000"/>
                <w:sz w:val="24"/>
                <w:szCs w:val="24"/>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7</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Asset value]</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[Net Asset Value = Net Assets]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[0+]</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 xml:space="preserve">Tested and reported [yearly </w:t>
            </w:r>
            <w:r w:rsidRPr="00446B8E">
              <w:rPr>
                <w:rFonts w:ascii="Arial" w:eastAsia="Arial" w:hAnsi="Arial" w:cs="Arial"/>
                <w:i/>
                <w:color w:val="8064A2"/>
                <w:sz w:val="24"/>
                <w:szCs w:val="24"/>
              </w:rPr>
              <w:t>/ half yearly</w:t>
            </w:r>
            <w:r w:rsidRPr="00446B8E">
              <w:rPr>
                <w:rFonts w:ascii="Arial" w:eastAsia="Arial" w:hAnsi="Arial" w:cs="Arial"/>
                <w:i/>
                <w:color w:val="000000"/>
                <w:sz w:val="24"/>
                <w:szCs w:val="24"/>
              </w:rPr>
              <w:t>] in arrears within [</w:t>
            </w:r>
            <w:r w:rsidRPr="00446B8E">
              <w:rPr>
                <w:rFonts w:ascii="Arial" w:eastAsia="Arial" w:hAnsi="Arial" w:cs="Arial"/>
                <w:i/>
                <w:color w:val="8064A2"/>
                <w:sz w:val="24"/>
                <w:szCs w:val="24"/>
              </w:rPr>
              <w:t>120 /</w:t>
            </w:r>
            <w:r w:rsidRPr="00446B8E">
              <w:rPr>
                <w:rFonts w:ascii="Arial" w:eastAsia="Arial" w:hAnsi="Arial" w:cs="Arial"/>
                <w:i/>
                <w:color w:val="000000"/>
                <w:sz w:val="24"/>
                <w:szCs w:val="24"/>
              </w:rPr>
              <w:t xml:space="preserve">90] days of each [accounting reference date </w:t>
            </w:r>
            <w:r w:rsidRPr="00446B8E">
              <w:rPr>
                <w:rFonts w:ascii="Arial" w:eastAsia="Arial" w:hAnsi="Arial" w:cs="Arial"/>
                <w:i/>
                <w:color w:val="8064A2"/>
                <w:sz w:val="24"/>
                <w:szCs w:val="24"/>
              </w:rPr>
              <w:t>/ half year end</w:t>
            </w:r>
            <w:r w:rsidRPr="00446B8E">
              <w:rPr>
                <w:rFonts w:ascii="Arial" w:eastAsia="Arial" w:hAnsi="Arial" w:cs="Arial"/>
                <w:i/>
                <w:color w:val="000000"/>
                <w:sz w:val="24"/>
                <w:szCs w:val="24"/>
              </w:rPr>
              <w:t xml:space="preserve">] based upon figures at the relevant [accounting reference date </w:t>
            </w:r>
            <w:r w:rsidRPr="00446B8E">
              <w:rPr>
                <w:rFonts w:ascii="Arial" w:eastAsia="Arial" w:hAnsi="Arial" w:cs="Arial"/>
                <w:i/>
                <w:color w:val="8064A2"/>
                <w:sz w:val="24"/>
                <w:szCs w:val="24"/>
              </w:rPr>
              <w:t>/ half year end</w:t>
            </w:r>
            <w:r w:rsidRPr="00446B8E">
              <w:rPr>
                <w:rFonts w:ascii="Arial" w:eastAsia="Arial" w:hAnsi="Arial" w:cs="Arial"/>
                <w:i/>
                <w:color w:val="000000"/>
                <w:sz w:val="24"/>
                <w:szCs w:val="24"/>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8</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[Group Exposure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[Group Exposure / Gross Assets]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[50%]</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hd w:val="clear" w:color="auto" w:fill="D9D9D9" w:themeFill="background1" w:themeFillShade="D9"/>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[25%]</w:t>
            </w:r>
          </w:p>
        </w:tc>
        <w:tc>
          <w:tcPr>
            <w:tcW w:w="2925" w:type="dxa"/>
            <w:vAlign w:val="center"/>
          </w:tcPr>
          <w:p w:rsidR="00772525" w:rsidRPr="00446B8E" w:rsidRDefault="00772525">
            <w:pPr>
              <w:pBdr>
                <w:top w:val="nil"/>
                <w:left w:val="nil"/>
                <w:bottom w:val="nil"/>
                <w:right w:val="nil"/>
                <w:between w:val="nil"/>
              </w:pBdr>
              <w:spacing w:before="100" w:after="200"/>
              <w:rPr>
                <w:rFonts w:ascii="Arial" w:eastAsia="Arial" w:hAnsi="Arial" w:cs="Arial"/>
                <w:i/>
                <w:color w:val="000000"/>
                <w:sz w:val="24"/>
                <w:szCs w:val="24"/>
              </w:rPr>
            </w:pPr>
            <w:r w:rsidRPr="00446B8E">
              <w:rPr>
                <w:rFonts w:ascii="Arial" w:eastAsia="Arial" w:hAnsi="Arial" w:cs="Arial"/>
                <w:i/>
                <w:color w:val="000000"/>
                <w:sz w:val="24"/>
                <w:szCs w:val="24"/>
              </w:rPr>
              <w:t>Tested and reported yearly in arrears within 90 days of each accounting reference date based upon figures at the relevant accounting reference date</w:t>
            </w:r>
          </w:p>
        </w:tc>
      </w:tr>
      <w:tr w:rsidR="000B257D" w:rsidRPr="00FE0298" w:rsidTr="0057460D">
        <w:tc>
          <w:tcPr>
            <w:tcW w:w="2253" w:type="dxa"/>
            <w:shd w:val="clear" w:color="auto" w:fill="auto"/>
            <w:vAlign w:val="center"/>
          </w:tcPr>
          <w:p w:rsidR="000B257D" w:rsidRPr="0057460D" w:rsidRDefault="00446B8E">
            <w:pPr>
              <w:pBdr>
                <w:top w:val="nil"/>
                <w:left w:val="nil"/>
                <w:bottom w:val="nil"/>
                <w:right w:val="nil"/>
                <w:between w:val="nil"/>
              </w:pBdr>
              <w:spacing w:before="100" w:after="200"/>
              <w:rPr>
                <w:rFonts w:ascii="Arial" w:eastAsia="Arial" w:hAnsi="Arial" w:cs="Arial"/>
                <w:b/>
                <w:sz w:val="24"/>
                <w:szCs w:val="24"/>
              </w:rPr>
            </w:pPr>
            <w:r w:rsidRPr="0057460D">
              <w:rPr>
                <w:rFonts w:ascii="Arial" w:eastAsia="Arial" w:hAnsi="Arial" w:cs="Arial"/>
                <w:b/>
                <w:sz w:val="24"/>
                <w:szCs w:val="24"/>
              </w:rPr>
              <w:t>Financial Target 8</w:t>
            </w:r>
          </w:p>
        </w:tc>
        <w:tc>
          <w:tcPr>
            <w:tcW w:w="1977" w:type="dxa"/>
            <w:shd w:val="clear" w:color="auto" w:fill="auto"/>
            <w:vAlign w:val="center"/>
          </w:tcPr>
          <w:p w:rsidR="000B257D" w:rsidRPr="0057460D" w:rsidRDefault="00B81AC3">
            <w:pPr>
              <w:pBdr>
                <w:top w:val="nil"/>
                <w:left w:val="nil"/>
                <w:bottom w:val="nil"/>
                <w:right w:val="nil"/>
                <w:between w:val="nil"/>
              </w:pBdr>
              <w:spacing w:before="100" w:after="200"/>
              <w:rPr>
                <w:rFonts w:ascii="Arial" w:eastAsia="Arial" w:hAnsi="Arial" w:cs="Arial"/>
                <w:i/>
                <w:sz w:val="24"/>
                <w:szCs w:val="24"/>
              </w:rPr>
            </w:pPr>
            <w:r w:rsidRPr="0057460D">
              <w:rPr>
                <w:rFonts w:ascii="Arial" w:eastAsia="Arial" w:hAnsi="Arial" w:cs="Arial"/>
                <w:i/>
                <w:sz w:val="24"/>
                <w:szCs w:val="24"/>
              </w:rPr>
              <w:t>[etc.]</w:t>
            </w:r>
          </w:p>
        </w:tc>
        <w:tc>
          <w:tcPr>
            <w:tcW w:w="1861" w:type="dxa"/>
            <w:gridSpan w:val="3"/>
            <w:shd w:val="clear" w:color="auto" w:fill="auto"/>
            <w:vAlign w:val="center"/>
          </w:tcPr>
          <w:p w:rsidR="000B257D" w:rsidRPr="0057460D" w:rsidRDefault="00B81AC3" w:rsidP="00DC55E9">
            <w:pPr>
              <w:pBdr>
                <w:top w:val="nil"/>
                <w:left w:val="nil"/>
                <w:bottom w:val="nil"/>
                <w:right w:val="nil"/>
                <w:between w:val="nil"/>
              </w:pBdr>
              <w:spacing w:before="100" w:after="200"/>
              <w:jc w:val="center"/>
              <w:rPr>
                <w:rFonts w:ascii="Arial" w:eastAsia="Arial" w:hAnsi="Arial" w:cs="Arial"/>
                <w:i/>
                <w:sz w:val="24"/>
                <w:szCs w:val="24"/>
              </w:rPr>
            </w:pPr>
            <w:r w:rsidRPr="0057460D">
              <w:rPr>
                <w:rFonts w:ascii="Arial" w:eastAsia="Arial" w:hAnsi="Arial" w:cs="Arial"/>
                <w:i/>
                <w:sz w:val="24"/>
                <w:szCs w:val="24"/>
              </w:rPr>
              <w:t>[etc.]</w:t>
            </w:r>
          </w:p>
        </w:tc>
        <w:tc>
          <w:tcPr>
            <w:tcW w:w="2925" w:type="dxa"/>
            <w:shd w:val="clear" w:color="auto" w:fill="auto"/>
            <w:vAlign w:val="center"/>
          </w:tcPr>
          <w:p w:rsidR="000B257D" w:rsidRPr="0057460D" w:rsidRDefault="00B81AC3">
            <w:pPr>
              <w:pBdr>
                <w:top w:val="nil"/>
                <w:left w:val="nil"/>
                <w:bottom w:val="nil"/>
                <w:right w:val="nil"/>
                <w:between w:val="nil"/>
              </w:pBdr>
              <w:spacing w:before="100" w:after="200"/>
              <w:rPr>
                <w:rFonts w:ascii="Arial" w:eastAsia="Arial" w:hAnsi="Arial" w:cs="Arial"/>
                <w:i/>
                <w:sz w:val="24"/>
                <w:szCs w:val="24"/>
              </w:rPr>
            </w:pPr>
            <w:r w:rsidRPr="0057460D">
              <w:rPr>
                <w:rFonts w:ascii="Arial" w:eastAsia="Arial" w:hAnsi="Arial" w:cs="Arial"/>
                <w:i/>
                <w:sz w:val="24"/>
                <w:szCs w:val="24"/>
              </w:rPr>
              <w:t>[etc.]</w:t>
            </w:r>
          </w:p>
        </w:tc>
      </w:tr>
    </w:tbl>
    <w:p w:rsidR="000B257D" w:rsidRDefault="00B81AC3">
      <w:pPr>
        <w:pBdr>
          <w:top w:val="nil"/>
          <w:left w:val="nil"/>
          <w:bottom w:val="nil"/>
          <w:right w:val="nil"/>
          <w:between w:val="nil"/>
        </w:pBdr>
        <w:tabs>
          <w:tab w:val="left" w:pos="142"/>
        </w:tabs>
        <w:spacing w:before="120"/>
        <w:ind w:left="360" w:hanging="360"/>
        <w:rPr>
          <w:rFonts w:ascii="Arial" w:eastAsia="Arial" w:hAnsi="Arial" w:cs="Arial"/>
          <w:smallCaps/>
          <w:color w:val="000000"/>
          <w:sz w:val="24"/>
          <w:szCs w:val="24"/>
        </w:rPr>
      </w:pPr>
      <w:r>
        <w:rPr>
          <w:rFonts w:ascii="Arial" w:eastAsia="Arial" w:hAnsi="Arial" w:cs="Arial"/>
          <w:color w:val="000000"/>
          <w:sz w:val="24"/>
          <w:szCs w:val="24"/>
        </w:rPr>
        <w:lastRenderedPageBreak/>
        <w:t>Key: 1 – see Annex 3 to this Schedule which sets out the calculation methodology to be used in the calculation of each financial indicator.</w:t>
      </w:r>
    </w:p>
    <w:p w:rsidR="000B257D" w:rsidRDefault="00B81AC3">
      <w:pPr>
        <w:numPr>
          <w:ilvl w:val="1"/>
          <w:numId w:val="4"/>
        </w:numPr>
        <w:pBdr>
          <w:top w:val="nil"/>
          <w:left w:val="nil"/>
          <w:bottom w:val="nil"/>
          <w:right w:val="nil"/>
          <w:between w:val="nil"/>
        </w:pBdr>
        <w:tabs>
          <w:tab w:val="left" w:pos="1134"/>
        </w:tabs>
        <w:spacing w:before="120" w:after="120"/>
        <w:ind w:left="360" w:hanging="360"/>
      </w:pPr>
      <w:r>
        <w:rPr>
          <w:rFonts w:ascii="Arial" w:eastAsia="Arial" w:hAnsi="Arial" w:cs="Arial"/>
          <w:color w:val="000000"/>
          <w:sz w:val="24"/>
          <w:szCs w:val="24"/>
        </w:rPr>
        <w:t>Monitored Suppliers</w:t>
      </w:r>
      <w:r>
        <w:rPr>
          <w:color w:val="000000"/>
        </w:rPr>
        <w:t xml:space="preserve"> </w:t>
      </w:r>
    </w:p>
    <w:p w:rsidR="000B257D" w:rsidRDefault="000B257D">
      <w:pPr>
        <w:pBdr>
          <w:top w:val="nil"/>
          <w:left w:val="nil"/>
          <w:bottom w:val="nil"/>
          <w:right w:val="nil"/>
          <w:between w:val="nil"/>
        </w:pBdr>
        <w:tabs>
          <w:tab w:val="left" w:pos="1134"/>
        </w:tabs>
        <w:spacing w:before="120" w:after="120"/>
        <w:ind w:left="360" w:hanging="1004"/>
        <w:rPr>
          <w:rFonts w:ascii="Arial" w:eastAsia="Arial" w:hAnsi="Arial" w:cs="Arial"/>
          <w:color w:val="000000"/>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0B257D">
        <w:tc>
          <w:tcPr>
            <w:tcW w:w="4073" w:type="dxa"/>
            <w:shd w:val="clear" w:color="auto" w:fill="D9D9D9"/>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Monitored Supplier</w:t>
            </w:r>
          </w:p>
        </w:tc>
        <w:tc>
          <w:tcPr>
            <w:tcW w:w="4223" w:type="dxa"/>
            <w:shd w:val="clear" w:color="auto" w:fill="D9D9D9"/>
          </w:tcPr>
          <w:p w:rsidR="000B257D" w:rsidRDefault="00B81AC3">
            <w:p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Applicable Financial Indicators</w:t>
            </w:r>
          </w:p>
          <w:p w:rsidR="000B257D" w:rsidRDefault="00B81AC3">
            <w:pPr>
              <w:pBdr>
                <w:top w:val="nil"/>
                <w:left w:val="nil"/>
                <w:bottom w:val="nil"/>
                <w:right w:val="nil"/>
                <w:between w:val="nil"/>
              </w:pBdr>
              <w:spacing w:before="100" w:after="200"/>
              <w:rPr>
                <w:rFonts w:ascii="Arial" w:eastAsia="Arial" w:hAnsi="Arial" w:cs="Arial"/>
                <w:color w:val="000000"/>
                <w:sz w:val="24"/>
                <w:szCs w:val="24"/>
              </w:rPr>
            </w:pPr>
            <w:bookmarkStart w:id="3" w:name="_3whwml4" w:colFirst="0" w:colLast="0"/>
            <w:bookmarkEnd w:id="3"/>
            <w:r>
              <w:rPr>
                <w:rFonts w:ascii="Arial" w:eastAsia="Arial" w:hAnsi="Arial" w:cs="Arial"/>
                <w:color w:val="000000"/>
                <w:sz w:val="24"/>
                <w:szCs w:val="24"/>
              </w:rPr>
              <w:t>(these are the Financial Indicators from the table in Paragraph 5.1 which are to apply to the Monitored Suppliers)</w:t>
            </w:r>
          </w:p>
        </w:tc>
      </w:tr>
      <w:tr w:rsidR="000B257D">
        <w:tc>
          <w:tcPr>
            <w:tcW w:w="4073" w:type="dxa"/>
          </w:tcPr>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 xml:space="preserve">[Entity 1 </w:t>
            </w:r>
            <w:proofErr w:type="spellStart"/>
            <w:r w:rsidRPr="00446B8E">
              <w:rPr>
                <w:rFonts w:ascii="Arial" w:eastAsia="Arial" w:hAnsi="Arial" w:cs="Arial"/>
                <w:color w:val="000000"/>
                <w:sz w:val="24"/>
                <w:szCs w:val="24"/>
              </w:rPr>
              <w:t>e.g</w:t>
            </w:r>
            <w:proofErr w:type="spellEnd"/>
            <w:r w:rsidRPr="00446B8E">
              <w:rPr>
                <w:rFonts w:ascii="Arial" w:eastAsia="Arial" w:hAnsi="Arial" w:cs="Arial"/>
                <w:color w:val="000000"/>
                <w:sz w:val="24"/>
                <w:szCs w:val="24"/>
              </w:rPr>
              <w:t xml:space="preserve"> Group Member, Sub-contractor, Relevant Parent Company etc.] </w:t>
            </w:r>
          </w:p>
        </w:tc>
        <w:tc>
          <w:tcPr>
            <w:tcW w:w="4223" w:type="dxa"/>
          </w:tcPr>
          <w:p w:rsidR="00B309C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w:t>
            </w:r>
            <w:r w:rsidR="00B309CD" w:rsidRPr="00446B8E">
              <w:rPr>
                <w:rFonts w:ascii="Arial" w:eastAsia="Arial" w:hAnsi="Arial" w:cs="Arial"/>
                <w:color w:val="000000"/>
                <w:sz w:val="24"/>
                <w:szCs w:val="24"/>
              </w:rPr>
              <w:t>1 – Turnover Ratio]</w:t>
            </w:r>
          </w:p>
          <w:p w:rsidR="000B257D" w:rsidRPr="00446B8E" w:rsidRDefault="00B309CD">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w:t>
            </w:r>
            <w:r w:rsidR="001B0803" w:rsidRPr="00446B8E">
              <w:rPr>
                <w:rFonts w:ascii="Arial" w:eastAsia="Arial" w:hAnsi="Arial" w:cs="Arial"/>
                <w:color w:val="000000"/>
                <w:sz w:val="24"/>
                <w:szCs w:val="24"/>
              </w:rPr>
              <w:t>2</w:t>
            </w:r>
            <w:r w:rsidR="00B81AC3" w:rsidRPr="00446B8E">
              <w:rPr>
                <w:rFonts w:ascii="Arial" w:eastAsia="Arial" w:hAnsi="Arial" w:cs="Arial"/>
                <w:color w:val="000000"/>
                <w:sz w:val="24"/>
                <w:szCs w:val="24"/>
              </w:rPr>
              <w:t xml:space="preserve"> – Operating Margin]</w:t>
            </w:r>
          </w:p>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w:t>
            </w:r>
            <w:r w:rsidR="001B0803" w:rsidRPr="00446B8E">
              <w:rPr>
                <w:rFonts w:ascii="Arial" w:eastAsia="Arial" w:hAnsi="Arial" w:cs="Arial"/>
                <w:color w:val="000000"/>
                <w:sz w:val="24"/>
                <w:szCs w:val="24"/>
              </w:rPr>
              <w:t>3</w:t>
            </w:r>
            <w:r w:rsidRPr="00446B8E">
              <w:rPr>
                <w:rFonts w:ascii="Arial" w:eastAsia="Arial" w:hAnsi="Arial" w:cs="Arial"/>
                <w:color w:val="000000"/>
                <w:sz w:val="24"/>
                <w:szCs w:val="24"/>
              </w:rPr>
              <w:t xml:space="preserve"> – </w:t>
            </w:r>
            <w:proofErr w:type="gramStart"/>
            <w:r w:rsidRPr="00446B8E">
              <w:rPr>
                <w:rFonts w:ascii="Arial" w:eastAsia="Arial" w:hAnsi="Arial" w:cs="Arial"/>
                <w:color w:val="000000"/>
                <w:sz w:val="24"/>
                <w:szCs w:val="24"/>
              </w:rPr>
              <w:t>etc</w:t>
            </w:r>
            <w:proofErr w:type="gramEnd"/>
            <w:r w:rsidRPr="00446B8E">
              <w:rPr>
                <w:rFonts w:ascii="Arial" w:eastAsia="Arial" w:hAnsi="Arial" w:cs="Arial"/>
                <w:color w:val="000000"/>
                <w:sz w:val="24"/>
                <w:szCs w:val="24"/>
              </w:rPr>
              <w:t>..]</w:t>
            </w:r>
          </w:p>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[4][5][6][7][8][</w:t>
            </w:r>
            <w:proofErr w:type="gramStart"/>
            <w:r w:rsidRPr="00446B8E">
              <w:rPr>
                <w:rFonts w:ascii="Arial" w:eastAsia="Arial" w:hAnsi="Arial" w:cs="Arial"/>
                <w:color w:val="000000"/>
                <w:sz w:val="24"/>
                <w:szCs w:val="24"/>
              </w:rPr>
              <w:t>etc</w:t>
            </w:r>
            <w:proofErr w:type="gramEnd"/>
            <w:r w:rsidRPr="00446B8E">
              <w:rPr>
                <w:rFonts w:ascii="Arial" w:eastAsia="Arial" w:hAnsi="Arial" w:cs="Arial"/>
                <w:color w:val="000000"/>
                <w:sz w:val="24"/>
                <w:szCs w:val="24"/>
              </w:rPr>
              <w:t>..]</w:t>
            </w:r>
          </w:p>
        </w:tc>
      </w:tr>
      <w:tr w:rsidR="000B257D">
        <w:tc>
          <w:tcPr>
            <w:tcW w:w="4073" w:type="dxa"/>
          </w:tcPr>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 xml:space="preserve">[Entity 2 </w:t>
            </w:r>
            <w:proofErr w:type="spellStart"/>
            <w:r w:rsidRPr="00446B8E">
              <w:rPr>
                <w:rFonts w:ascii="Arial" w:eastAsia="Arial" w:hAnsi="Arial" w:cs="Arial"/>
                <w:color w:val="000000"/>
                <w:sz w:val="24"/>
                <w:szCs w:val="24"/>
              </w:rPr>
              <w:t>e.g</w:t>
            </w:r>
            <w:proofErr w:type="spellEnd"/>
            <w:r w:rsidRPr="00446B8E">
              <w:rPr>
                <w:rFonts w:ascii="Arial" w:eastAsia="Arial" w:hAnsi="Arial" w:cs="Arial"/>
                <w:color w:val="000000"/>
                <w:sz w:val="24"/>
                <w:szCs w:val="24"/>
              </w:rPr>
              <w:t xml:space="preserve"> Group Member, Sub-contractor, Relevant Parent Company etc.]</w:t>
            </w:r>
          </w:p>
        </w:tc>
        <w:tc>
          <w:tcPr>
            <w:tcW w:w="4223" w:type="dxa"/>
          </w:tcPr>
          <w:p w:rsidR="00B309CD" w:rsidRPr="00446B8E" w:rsidRDefault="00B309CD" w:rsidP="00B309CD">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[1 – Turnover Ratio]</w:t>
            </w:r>
          </w:p>
          <w:p w:rsidR="00B309CD" w:rsidRPr="00446B8E" w:rsidRDefault="00B309CD" w:rsidP="00B309CD">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[2 – Operating Margin]</w:t>
            </w:r>
          </w:p>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w:t>
            </w:r>
            <w:r w:rsidR="001B0803" w:rsidRPr="00446B8E">
              <w:rPr>
                <w:rFonts w:ascii="Arial" w:eastAsia="Arial" w:hAnsi="Arial" w:cs="Arial"/>
                <w:color w:val="000000"/>
                <w:sz w:val="24"/>
                <w:szCs w:val="24"/>
              </w:rPr>
              <w:t>3</w:t>
            </w:r>
            <w:r w:rsidRPr="00446B8E">
              <w:rPr>
                <w:rFonts w:ascii="Arial" w:eastAsia="Arial" w:hAnsi="Arial" w:cs="Arial"/>
                <w:color w:val="000000"/>
                <w:sz w:val="24"/>
                <w:szCs w:val="24"/>
              </w:rPr>
              <w:t xml:space="preserve"> – etc.]</w:t>
            </w:r>
          </w:p>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[4][5][6][7][8][</w:t>
            </w:r>
            <w:proofErr w:type="gramStart"/>
            <w:r w:rsidRPr="00446B8E">
              <w:rPr>
                <w:rFonts w:ascii="Arial" w:eastAsia="Arial" w:hAnsi="Arial" w:cs="Arial"/>
                <w:color w:val="000000"/>
                <w:sz w:val="24"/>
                <w:szCs w:val="24"/>
              </w:rPr>
              <w:t>etc</w:t>
            </w:r>
            <w:proofErr w:type="gramEnd"/>
            <w:r w:rsidRPr="00446B8E">
              <w:rPr>
                <w:rFonts w:ascii="Arial" w:eastAsia="Arial" w:hAnsi="Arial" w:cs="Arial"/>
                <w:color w:val="000000"/>
                <w:sz w:val="24"/>
                <w:szCs w:val="24"/>
              </w:rPr>
              <w:t>..]</w:t>
            </w:r>
          </w:p>
        </w:tc>
      </w:tr>
      <w:tr w:rsidR="000B257D">
        <w:tc>
          <w:tcPr>
            <w:tcW w:w="4073" w:type="dxa"/>
          </w:tcPr>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[etc.]</w:t>
            </w:r>
          </w:p>
        </w:tc>
        <w:tc>
          <w:tcPr>
            <w:tcW w:w="4223" w:type="dxa"/>
          </w:tcPr>
          <w:p w:rsidR="000B257D" w:rsidRPr="00446B8E" w:rsidRDefault="00B81AC3">
            <w:pPr>
              <w:pBdr>
                <w:top w:val="nil"/>
                <w:left w:val="nil"/>
                <w:bottom w:val="nil"/>
                <w:right w:val="nil"/>
                <w:between w:val="nil"/>
              </w:pBdr>
              <w:spacing w:before="100" w:after="200"/>
              <w:rPr>
                <w:rFonts w:ascii="Arial" w:eastAsia="Arial" w:hAnsi="Arial" w:cs="Arial"/>
                <w:color w:val="000000"/>
                <w:sz w:val="24"/>
                <w:szCs w:val="24"/>
              </w:rPr>
            </w:pPr>
            <w:r w:rsidRPr="00446B8E">
              <w:rPr>
                <w:rFonts w:ascii="Arial" w:eastAsia="Arial" w:hAnsi="Arial" w:cs="Arial"/>
                <w:color w:val="000000"/>
                <w:sz w:val="24"/>
                <w:szCs w:val="24"/>
              </w:rPr>
              <w:t>[etc.]</w:t>
            </w:r>
          </w:p>
        </w:tc>
      </w:tr>
    </w:tbl>
    <w:p w:rsidR="000B257D" w:rsidRDefault="000B257D">
      <w:pPr>
        <w:pBdr>
          <w:top w:val="nil"/>
          <w:left w:val="nil"/>
          <w:bottom w:val="nil"/>
          <w:right w:val="nil"/>
          <w:between w:val="nil"/>
        </w:pBdr>
        <w:tabs>
          <w:tab w:val="left" w:pos="1134"/>
        </w:tabs>
        <w:spacing w:before="120" w:after="120"/>
        <w:ind w:left="360" w:hanging="1004"/>
        <w:rPr>
          <w:color w:val="000000"/>
        </w:rPr>
      </w:pP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Relevant Authority shall be entitled to terminate the Contract if:</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notify the Relevant Authority of a Financial Distress Event in accordance with Paragraph 2.3.3;</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Parties fail to agree a Financial Distress Remediation Plan (or any updated Financial Distress Remediation Plan) in accordance with Paragraphs 4.3 to 4.5; and/or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comply with the terms of the Financial Distress Remediation Plan (or any updated Financial Distress Remediation Plan) in accordance with Paragraph 4.6.3,</w:t>
      </w:r>
    </w:p>
    <w:p w:rsidR="000B257D" w:rsidRDefault="00B81AC3">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 10.4.1 of the Core Terms applies and Clauses 10.6.1 and 10.6.2 of the Core Terms shall apply accordingly.</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Primacy of Credit Ratings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 Paragraphs 4.3 to 4.6;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Relevant Authority shall not be entitled to require the Supplier to provide financial information in accordance with Paragraph 4.3.2(b).</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that a Financial Distress Event has occurred since the later of the Effective Date or the previous Board Confirmation or is subsisting; 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of any matters which have occurred or are subsisting that could reasonably be expected to cause a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Optional Clauses</w:t>
      </w:r>
    </w:p>
    <w:p w:rsidR="000B257D" w:rsidRDefault="00B81AC3">
      <w:pPr>
        <w:numPr>
          <w:ilvl w:val="1"/>
          <w:numId w:val="4"/>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rsidR="000B257D" w:rsidRDefault="000B257D">
      <w:pPr>
        <w:pBdr>
          <w:top w:val="nil"/>
          <w:left w:val="nil"/>
          <w:bottom w:val="nil"/>
          <w:right w:val="nil"/>
          <w:between w:val="nil"/>
        </w:pBdr>
        <w:tabs>
          <w:tab w:val="left" w:pos="142"/>
        </w:tabs>
        <w:spacing w:before="120"/>
        <w:ind w:left="360" w:hanging="360"/>
        <w:rPr>
          <w:b/>
          <w:smallCaps/>
          <w:color w:val="000000"/>
        </w:rPr>
      </w:pPr>
    </w:p>
    <w:p w:rsidR="000B257D" w:rsidRDefault="00B81AC3">
      <w:pPr>
        <w:spacing w:after="200" w:line="276" w:lineRule="auto"/>
        <w:rPr>
          <w:rFonts w:ascii="Arial" w:eastAsia="Arial" w:hAnsi="Arial" w:cs="Arial"/>
          <w:b/>
          <w:sz w:val="24"/>
          <w:szCs w:val="24"/>
        </w:rPr>
      </w:pPr>
      <w:r>
        <w:br w:type="page"/>
      </w:r>
      <w:r>
        <w:rPr>
          <w:rFonts w:ascii="Arial" w:eastAsia="Arial" w:hAnsi="Arial" w:cs="Arial"/>
          <w:b/>
          <w:sz w:val="24"/>
          <w:szCs w:val="24"/>
        </w:rPr>
        <w:lastRenderedPageBreak/>
        <w:t>Annex 1: Rating Agencies and their standard Rating System</w:t>
      </w:r>
    </w:p>
    <w:p w:rsidR="000B257D" w:rsidRDefault="00446B8E" w:rsidP="00446B8E">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Dun and Bradstreet</w:t>
      </w:r>
    </w:p>
    <w:p w:rsidR="000B257D" w:rsidRDefault="00B81AC3">
      <w:pPr>
        <w:spacing w:after="200" w:line="276" w:lineRule="auto"/>
        <w:rPr>
          <w:rFonts w:ascii="Arial" w:eastAsia="Arial" w:hAnsi="Arial" w:cs="Arial"/>
          <w:sz w:val="24"/>
          <w:szCs w:val="24"/>
        </w:rPr>
      </w:pPr>
      <w:r>
        <w:br w:type="page"/>
      </w:r>
    </w:p>
    <w:p w:rsidR="000B257D" w:rsidRDefault="00B81AC3">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4" w:name="_2bn6wsx" w:colFirst="0" w:colLast="0"/>
      <w:bookmarkEnd w:id="4"/>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B257D">
        <w:tc>
          <w:tcPr>
            <w:tcW w:w="3080"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0B257D" w:rsidRDefault="00446B8E">
            <w:pPr>
              <w:keepNext/>
              <w:pBdr>
                <w:top w:val="nil"/>
                <w:left w:val="nil"/>
                <w:bottom w:val="nil"/>
                <w:right w:val="nil"/>
                <w:between w:val="nil"/>
              </w:pBdr>
              <w:spacing w:before="240" w:after="120"/>
              <w:ind w:left="142"/>
              <w:rPr>
                <w:rFonts w:ascii="Arial" w:eastAsia="Arial" w:hAnsi="Arial" w:cs="Arial"/>
                <w:color w:val="000000"/>
                <w:sz w:val="24"/>
                <w:szCs w:val="24"/>
              </w:rPr>
            </w:pPr>
            <w:r w:rsidRPr="00446B8E">
              <w:rPr>
                <w:rFonts w:ascii="Arial" w:eastAsia="Arial" w:hAnsi="Arial" w:cs="Arial"/>
                <w:color w:val="000000"/>
                <w:sz w:val="24"/>
                <w:szCs w:val="24"/>
              </w:rPr>
              <w:t>60</w:t>
            </w:r>
            <w:r>
              <w:rPr>
                <w:rFonts w:ascii="Arial" w:eastAsia="Arial" w:hAnsi="Arial" w:cs="Arial"/>
                <w:color w:val="000000"/>
                <w:sz w:val="24"/>
                <w:szCs w:val="24"/>
              </w:rPr>
              <w:t xml:space="preserve"> (failure score)</w:t>
            </w:r>
          </w:p>
        </w:tc>
      </w:tr>
      <w:tr w:rsidR="000B257D">
        <w:tc>
          <w:tcPr>
            <w:tcW w:w="3080" w:type="dxa"/>
            <w:shd w:val="clear" w:color="auto" w:fill="FFFFFF"/>
          </w:tcPr>
          <w:p w:rsidR="000B257D" w:rsidRDefault="000B257D" w:rsidP="00446B8E">
            <w:pPr>
              <w:keepNext/>
              <w:pBdr>
                <w:top w:val="nil"/>
                <w:left w:val="nil"/>
                <w:bottom w:val="nil"/>
                <w:right w:val="nil"/>
                <w:between w:val="nil"/>
              </w:pBdr>
              <w:spacing w:before="240" w:after="120"/>
              <w:rPr>
                <w:rFonts w:ascii="Arial" w:eastAsia="Arial" w:hAnsi="Arial" w:cs="Arial"/>
                <w:color w:val="000000"/>
                <w:sz w:val="24"/>
                <w:szCs w:val="24"/>
              </w:rPr>
            </w:pPr>
          </w:p>
        </w:tc>
        <w:tc>
          <w:tcPr>
            <w:tcW w:w="3081" w:type="dxa"/>
            <w:shd w:val="clear" w:color="auto" w:fill="FFFFFF"/>
          </w:tcPr>
          <w:p w:rsidR="000B257D" w:rsidRDefault="000B257D">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0B257D">
        <w:tc>
          <w:tcPr>
            <w:tcW w:w="3080" w:type="dxa"/>
            <w:tcBorders>
              <w:bottom w:val="single" w:sz="4" w:space="0" w:color="000000"/>
            </w:tcBorders>
            <w:shd w:val="clear" w:color="auto" w:fill="FFFFFF"/>
          </w:tcPr>
          <w:p w:rsidR="000B257D" w:rsidRDefault="000B257D">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p>
        </w:tc>
        <w:tc>
          <w:tcPr>
            <w:tcW w:w="3081" w:type="dxa"/>
            <w:tcBorders>
              <w:bottom w:val="single" w:sz="4" w:space="0" w:color="000000"/>
            </w:tcBorders>
            <w:shd w:val="clear" w:color="auto" w:fill="FFFFFF"/>
          </w:tcPr>
          <w:p w:rsidR="000B257D" w:rsidRDefault="000B257D">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0B257D" w:rsidRDefault="000B257D">
      <w:pPr>
        <w:pBdr>
          <w:top w:val="nil"/>
          <w:left w:val="nil"/>
          <w:bottom w:val="nil"/>
          <w:right w:val="nil"/>
          <w:between w:val="nil"/>
        </w:pBdr>
        <w:spacing w:before="100" w:after="200"/>
        <w:rPr>
          <w:rFonts w:ascii="Arial" w:eastAsia="Arial" w:hAnsi="Arial" w:cs="Arial"/>
          <w:color w:val="000000"/>
          <w:sz w:val="24"/>
          <w:szCs w:val="24"/>
        </w:rPr>
      </w:pPr>
    </w:p>
    <w:p w:rsidR="000B257D" w:rsidRDefault="00B81AC3">
      <w:pPr>
        <w:spacing w:after="200" w:line="276" w:lineRule="auto"/>
        <w:rPr>
          <w:rFonts w:ascii="Arial" w:eastAsia="Arial" w:hAnsi="Arial" w:cs="Arial"/>
          <w:sz w:val="24"/>
          <w:szCs w:val="24"/>
        </w:rPr>
      </w:pPr>
      <w:r>
        <w:br w:type="page"/>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Annex 3: Calculation methodology for Financial Indicators</w:t>
      </w:r>
    </w:p>
    <w:p w:rsidR="000B257D" w:rsidRDefault="00B81AC3">
      <w:pPr>
        <w:pBdr>
          <w:top w:val="nil"/>
          <w:left w:val="nil"/>
          <w:bottom w:val="nil"/>
          <w:right w:val="nil"/>
          <w:between w:val="nil"/>
        </w:pBdr>
        <w:spacing w:before="100" w:after="200"/>
        <w:jc w:val="left"/>
        <w:rPr>
          <w:rFonts w:ascii="Arial" w:eastAsia="Arial" w:hAnsi="Arial" w:cs="Arial"/>
          <w:color w:val="000000"/>
          <w:sz w:val="24"/>
          <w:szCs w:val="24"/>
        </w:rPr>
      </w:pPr>
      <w:bookmarkStart w:id="5" w:name="_qsh70q" w:colFirst="0" w:colLast="0"/>
      <w:bookmarkEnd w:id="5"/>
      <w:r>
        <w:rPr>
          <w:rFonts w:ascii="Arial" w:eastAsia="Arial" w:hAnsi="Arial" w:cs="Arial"/>
          <w:color w:val="000000"/>
          <w:sz w:val="24"/>
          <w:szCs w:val="24"/>
        </w:rPr>
        <w:t>The Supplier shall ensure that it uses the following general and specific methodologies for calculating the Financial Indicators against the Financial Target Thresholds:</w:t>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bookmarkStart w:id="6" w:name="_3as4poj" w:colFirst="0" w:colLast="0"/>
      <w:bookmarkEnd w:id="6"/>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 rate in force at the relevant date for which the Financial Indicator is being calculated.</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rsidR="000B257D" w:rsidRDefault="00B81AC3">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B257D">
        <w:tc>
          <w:tcPr>
            <w:tcW w:w="2538" w:type="dxa"/>
            <w:shd w:val="clear" w:color="auto" w:fill="D9D9D9"/>
          </w:tcPr>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rsidR="000B257D" w:rsidRDefault="00B81AC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B81AC3">
        <w:tc>
          <w:tcPr>
            <w:tcW w:w="2538" w:type="dxa"/>
            <w:vAlign w:val="center"/>
          </w:tcPr>
          <w:p w:rsidR="00B81AC3"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1 [Turnover Ratio]</w:t>
            </w:r>
          </w:p>
        </w:tc>
        <w:tc>
          <w:tcPr>
            <w:tcW w:w="6478" w:type="dxa"/>
          </w:tcPr>
          <w:p w:rsidR="00B81AC3"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[Revenue should be shown on the face of the Income Statement in a standard set of financial statements. It should exclude the entity’s share of the revenue of joint ventures or associates.]</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2</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[Operating Margin]</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[The elements used to calculate the Operating Margin should be shown on the face of the Income Statement in a standard set of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Figures for Operating Profit and Revenue should exclude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an entity has an operating loss (i.e. where the operating profit is negative), Operating Profit should be taken to be zero.]</w:t>
            </w:r>
          </w:p>
        </w:tc>
      </w:tr>
      <w:tr w:rsidR="000B257D">
        <w:tc>
          <w:tcPr>
            <w:tcW w:w="2538" w:type="dxa"/>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3A</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[Free Cash Flow to Net Debt Ratio]</w:t>
            </w: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OR</w:t>
            </w:r>
          </w:p>
          <w:p w:rsidR="001B0803"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3B</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[Net Debt to EBITDA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lastRenderedPageBreak/>
              <w:t>[“</w:t>
            </w:r>
            <w:r w:rsidRPr="00FE0298">
              <w:rPr>
                <w:rFonts w:ascii="Arial" w:eastAsia="Arial" w:hAnsi="Arial" w:cs="Arial"/>
                <w:b/>
                <w:i/>
                <w:color w:val="000000"/>
                <w:sz w:val="24"/>
                <w:szCs w:val="24"/>
              </w:rPr>
              <w:t>Free Cash Flow</w:t>
            </w:r>
            <w:r w:rsidRPr="00FE0298">
              <w:rPr>
                <w:rFonts w:ascii="Arial" w:eastAsia="Arial" w:hAnsi="Arial" w:cs="Arial"/>
                <w:i/>
                <w:color w:val="000000"/>
                <w:sz w:val="24"/>
                <w:szCs w:val="24"/>
              </w:rPr>
              <w:t>” = Net Cash Flow from Operating Activities – Capital Expenditure</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Capital Expenditure</w:t>
            </w:r>
            <w:r w:rsidRPr="00FE0298">
              <w:rPr>
                <w:rFonts w:ascii="Arial" w:eastAsia="Arial" w:hAnsi="Arial" w:cs="Arial"/>
                <w:i/>
                <w:color w:val="000000"/>
                <w:sz w:val="24"/>
                <w:szCs w:val="24"/>
              </w:rPr>
              <w:t>” = Purchase of property, plant &amp; equipment + purchase of intangible assets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lastRenderedPageBreak/>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Cash Flow from Operating Activities</w:t>
            </w:r>
            <w:r w:rsidRPr="00FE0298">
              <w:rPr>
                <w:rFonts w:ascii="Arial" w:eastAsia="Arial" w:hAnsi="Arial" w:cs="Arial"/>
                <w:color w:val="000000"/>
                <w:sz w:val="24"/>
                <w:szCs w:val="24"/>
              </w:rPr>
              <w:t>: This should be stated after deduction of interest and tax paid.</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Capital expenditure</w:t>
            </w:r>
            <w:r w:rsidRPr="00FE0298">
              <w:rPr>
                <w:rFonts w:ascii="Arial" w:eastAsia="Arial" w:hAnsi="Arial" w:cs="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debt is negative (i.e. an entity has net cash), the relevant Financial Target Threshold should be treated as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OR</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EBITDA</w:t>
            </w:r>
            <w:r w:rsidRPr="00FE0298">
              <w:rPr>
                <w:rFonts w:ascii="Arial" w:eastAsia="Arial" w:hAnsi="Arial" w:cs="Arial"/>
                <w:i/>
                <w:color w:val="000000"/>
                <w:sz w:val="24"/>
                <w:szCs w:val="24"/>
              </w:rPr>
              <w:t>” = Operating profit + Depreciation charge + Amortisation charge</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The majority of the elements used to calculate the Net Debt to EBITDA Ratio should be shown on the face of the </w:t>
            </w:r>
            <w:r w:rsidRPr="00FE0298">
              <w:rPr>
                <w:rFonts w:ascii="Arial" w:eastAsia="Arial" w:hAnsi="Arial" w:cs="Arial"/>
                <w:color w:val="000000"/>
                <w:sz w:val="24"/>
                <w:szCs w:val="24"/>
              </w:rPr>
              <w:lastRenderedPageBreak/>
              <w:t>Balance sheet, Income statement and Statement of Cash Flows in a standard set of financial statements but will otherwise be found in the notes to the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Where Net debt is negative (i.e. an entity has net cash), the relevant Financial Target Threshold should be treated as having been met. </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bookmarkStart w:id="7" w:name="_1pxezwc" w:colFirst="0" w:colLast="0"/>
            <w:bookmarkEnd w:id="7"/>
            <w:r w:rsidRPr="00FE0298">
              <w:rPr>
                <w:rFonts w:ascii="Arial" w:eastAsia="Arial" w:hAnsi="Arial" w:cs="Arial"/>
                <w:i/>
                <w:color w:val="000000"/>
                <w:sz w:val="24"/>
                <w:szCs w:val="24"/>
                <w:u w:val="single"/>
              </w:rPr>
              <w:t>EBITDA</w:t>
            </w:r>
            <w:r w:rsidRPr="00FE0298">
              <w:rPr>
                <w:rFonts w:ascii="Arial" w:eastAsia="Arial" w:hAnsi="Arial" w:cs="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sidRPr="00FE0298">
              <w:rPr>
                <w:rFonts w:ascii="Arial" w:eastAsia="Arial" w:hAnsi="Arial" w:cs="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B257D">
        <w:tc>
          <w:tcPr>
            <w:tcW w:w="2538" w:type="dxa"/>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4</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[Net Debt + Net  Pension Deficit to EBITDA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Pension Deficit</w:t>
            </w:r>
            <w:r w:rsidRPr="00FE0298">
              <w:rPr>
                <w:rFonts w:ascii="Arial" w:eastAsia="Arial" w:hAnsi="Arial" w:cs="Arial"/>
                <w:i/>
                <w:color w:val="000000"/>
                <w:sz w:val="24"/>
                <w:szCs w:val="24"/>
              </w:rPr>
              <w:t>” = Retirement Benefit Obligations – Retirement Benefit Assets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EBITDA</w:t>
            </w:r>
            <w:r w:rsidRPr="00FE0298">
              <w:rPr>
                <w:rFonts w:ascii="Arial" w:eastAsia="Arial" w:hAnsi="Arial" w:cs="Arial"/>
                <w:i/>
                <w:color w:val="000000"/>
                <w:sz w:val="24"/>
                <w:szCs w:val="24"/>
              </w:rPr>
              <w:t>” = Operating profit + Depreciation charge + Amortisation charge</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sidRPr="00FE0298">
              <w:rPr>
                <w:rFonts w:ascii="Arial" w:eastAsia="Arial" w:hAnsi="Arial" w:cs="Arial"/>
                <w:color w:val="000000"/>
                <w:sz w:val="24"/>
                <w:szCs w:val="24"/>
              </w:rPr>
              <w:lastRenderedPageBreak/>
              <w:t>statements but will otherwise be found in the notes to the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RPr="00FE0298">
              <w:rPr>
                <w:rFonts w:ascii="Arial" w:eastAsia="Arial" w:hAnsi="Arial" w:cs="Arial"/>
                <w:i/>
                <w:color w:val="000000"/>
                <w:sz w:val="24"/>
                <w:szCs w:val="24"/>
              </w:rPr>
              <w:t>not</w:t>
            </w:r>
            <w:r w:rsidRPr="00FE0298">
              <w:rPr>
                <w:rFonts w:ascii="Arial" w:eastAsia="Arial" w:hAnsi="Arial" w:cs="Arial"/>
                <w:color w:val="000000"/>
                <w:sz w:val="24"/>
                <w:szCs w:val="24"/>
              </w:rPr>
              <w:t xml:space="preserve">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Pension Deficit</w:t>
            </w:r>
            <w:r w:rsidRPr="00FE0298">
              <w:rPr>
                <w:rFonts w:ascii="Arial" w:eastAsia="Arial" w:hAnsi="Arial" w:cs="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Debt + Net Pension Deficit’ is negative, the relevant Financial Target Threshold should be treated as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EBITDA</w:t>
            </w:r>
            <w:r w:rsidRPr="00FE0298">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bookmarkStart w:id="8" w:name="_49x2ik5" w:colFirst="0" w:colLast="0"/>
            <w:bookmarkEnd w:id="8"/>
            <w:r w:rsidRPr="00FE0298">
              <w:rPr>
                <w:rFonts w:ascii="Arial" w:eastAsia="Arial" w:hAnsi="Arial" w:cs="Arial"/>
                <w:color w:val="000000"/>
                <w:sz w:val="24"/>
                <w:szCs w:val="24"/>
              </w:rPr>
              <w:t xml:space="preserve">The depreciation and amortisation charges for the period may be found on the face of the Statement of Cash Flows or in a Note to the Accounts. </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5</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[Net Interest Paid Cover]</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Earnings Before Interest and Tax</w:t>
            </w:r>
            <w:r w:rsidRPr="00FE0298">
              <w:rPr>
                <w:rFonts w:ascii="Arial" w:eastAsia="Arial" w:hAnsi="Arial" w:cs="Arial"/>
                <w:i/>
                <w:color w:val="000000"/>
                <w:sz w:val="24"/>
                <w:szCs w:val="24"/>
              </w:rPr>
              <w:t>” = Operating profit</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Interest Paid</w:t>
            </w:r>
            <w:r w:rsidRPr="00FE0298">
              <w:rPr>
                <w:rFonts w:ascii="Arial" w:eastAsia="Arial" w:hAnsi="Arial" w:cs="Arial"/>
                <w:i/>
                <w:color w:val="000000"/>
                <w:sz w:val="24"/>
                <w:szCs w:val="24"/>
              </w:rPr>
              <w:t>” = Interest paid – Interest received</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Operating profit should be shown on the face of the Income Statement in a standard set of financial statements and, for the purposes of calculating this Financial Indicator, </w:t>
            </w:r>
            <w:r w:rsidRPr="00FE0298">
              <w:rPr>
                <w:rFonts w:ascii="Arial" w:eastAsia="Arial" w:hAnsi="Arial" w:cs="Arial"/>
                <w:color w:val="000000"/>
                <w:sz w:val="24"/>
                <w:szCs w:val="24"/>
              </w:rPr>
              <w:lastRenderedPageBreak/>
              <w:t>should include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Interest received and interest paid should be shown on the face of the Cash Flow statement.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interest paid is negative (i.e. the entity has net interest received), the relevant Financial Target Threshold should be treated as having been met.]</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6</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[Acid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[All elements that are used to calculate the Acid Ratio are available on the face of the Balance Sheet in a standard set of financial statements.]</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7</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[Net Asset value]</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8</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[Group Exposure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Group Exposure</w:t>
            </w:r>
            <w:r w:rsidRPr="00FE0298">
              <w:rPr>
                <w:rFonts w:ascii="Arial" w:eastAsia="Arial" w:hAnsi="Arial" w:cs="Arial"/>
                <w:i/>
                <w:color w:val="000000"/>
                <w:sz w:val="24"/>
                <w:szCs w:val="24"/>
              </w:rPr>
              <w:t>” = Balances owed by Group Undertakings + Contingent liabilities assumed in support of Group Undertakings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Gross Assets</w:t>
            </w:r>
            <w:r w:rsidRPr="00FE0298">
              <w:rPr>
                <w:rFonts w:ascii="Arial" w:eastAsia="Arial" w:hAnsi="Arial" w:cs="Arial"/>
                <w:i/>
                <w:color w:val="000000"/>
                <w:sz w:val="24"/>
                <w:szCs w:val="24"/>
              </w:rPr>
              <w:t>” = Fixed Assets +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Group Exposure</w:t>
            </w:r>
            <w:r w:rsidRPr="00FE0298">
              <w:rPr>
                <w:rFonts w:ascii="Arial" w:eastAsia="Arial" w:hAnsi="Arial" w:cs="Arial"/>
                <w:color w:val="000000"/>
                <w:sz w:val="24"/>
                <w:szCs w:val="24"/>
              </w:rPr>
              <w:t>:  Balances owed by (</w:t>
            </w:r>
            <w:proofErr w:type="spellStart"/>
            <w:r w:rsidRPr="00FE0298">
              <w:rPr>
                <w:rFonts w:ascii="Arial" w:eastAsia="Arial" w:hAnsi="Arial" w:cs="Arial"/>
                <w:color w:val="000000"/>
                <w:sz w:val="24"/>
                <w:szCs w:val="24"/>
              </w:rPr>
              <w:t>ie</w:t>
            </w:r>
            <w:proofErr w:type="spellEnd"/>
            <w:r w:rsidRPr="00FE0298">
              <w:rPr>
                <w:rFonts w:ascii="Arial" w:eastAsia="Arial" w:hAnsi="Arial" w:cs="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Gross Assets</w:t>
            </w:r>
            <w:r w:rsidRPr="00FE0298">
              <w:rPr>
                <w:rFonts w:ascii="Arial" w:eastAsia="Arial" w:hAnsi="Arial" w:cs="Arial"/>
                <w:color w:val="000000"/>
                <w:sz w:val="24"/>
                <w:szCs w:val="24"/>
              </w:rPr>
              <w:t>: Both Fixed assets and Current assets are shown on the face of the Balance Sheet]</w:t>
            </w:r>
          </w:p>
        </w:tc>
      </w:tr>
    </w:tbl>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spacing w:after="200" w:line="276" w:lineRule="auto"/>
        <w:jc w:val="left"/>
        <w:rPr>
          <w:rFonts w:ascii="Arial" w:eastAsia="Arial" w:hAnsi="Arial" w:cs="Arial"/>
          <w:sz w:val="24"/>
          <w:szCs w:val="24"/>
        </w:rPr>
      </w:pPr>
      <w:r>
        <w:br w:type="page"/>
      </w:r>
    </w:p>
    <w:p w:rsidR="000B257D" w:rsidRDefault="00B81AC3">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9" w:name="_2p2csry" w:colFirst="0" w:colLast="0"/>
      <w:bookmarkEnd w:id="9"/>
      <w:r>
        <w:rPr>
          <w:rFonts w:ascii="Arial Bold" w:eastAsia="Arial Bold" w:hAnsi="Arial Bold" w:cs="Arial Bold"/>
          <w:b/>
          <w:smallCaps/>
          <w:color w:val="000000"/>
          <w:sz w:val="24"/>
          <w:szCs w:val="24"/>
        </w:rPr>
        <w:lastRenderedPageBreak/>
        <w:t>Annex 4: Board Confirmation</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10" w:name="_147n2zr" w:colFirst="0" w:colLast="0"/>
      <w:bookmarkEnd w:id="10"/>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The Board of Directors confirms, to the best of its knowledge and belief, that as at the date of this Board Confirmation it is not aware of and has no knowledge:</w:t>
      </w:r>
    </w:p>
    <w:p w:rsidR="000B257D" w:rsidRDefault="00B81AC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rsidR="000B257D" w:rsidRDefault="00B81AC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 Event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spacing w:after="200" w:line="276" w:lineRule="auto"/>
        <w:jc w:val="left"/>
        <w:rPr>
          <w:rFonts w:ascii="Arial" w:eastAsia="Arial" w:hAnsi="Arial" w:cs="Arial"/>
          <w:sz w:val="36"/>
          <w:szCs w:val="36"/>
        </w:rPr>
      </w:pPr>
      <w:r>
        <w:br w:type="page"/>
      </w:r>
    </w:p>
    <w:p w:rsidR="000B257D" w:rsidRDefault="000B257D">
      <w:pPr>
        <w:spacing w:after="200" w:line="276" w:lineRule="auto"/>
        <w:jc w:val="left"/>
        <w:rPr>
          <w:rFonts w:ascii="Arial" w:eastAsia="Arial" w:hAnsi="Arial" w:cs="Arial"/>
          <w:sz w:val="36"/>
          <w:szCs w:val="36"/>
        </w:rPr>
      </w:pPr>
    </w:p>
    <w:p w:rsidR="000B257D" w:rsidRDefault="00B81AC3">
      <w:pPr>
        <w:spacing w:after="200" w:line="276" w:lineRule="auto"/>
        <w:jc w:val="left"/>
        <w:rPr>
          <w:rFonts w:ascii="Arial" w:eastAsia="Arial" w:hAnsi="Arial" w:cs="Arial"/>
          <w:b/>
          <w:smallCaps/>
          <w:sz w:val="36"/>
          <w:szCs w:val="36"/>
        </w:rPr>
      </w:pPr>
      <w:r>
        <w:rPr>
          <w:rFonts w:ascii="Arial" w:eastAsia="Arial" w:hAnsi="Arial" w:cs="Arial"/>
          <w:b/>
          <w:smallCaps/>
          <w:sz w:val="36"/>
          <w:szCs w:val="36"/>
        </w:rPr>
        <w:t>ANNEX 5: OPTIONAL CLAUSES FOR BRONZE CONTRACTS</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Appendix 2;</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occurrence or one or more of the following events:</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any of the following:</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lastRenderedPageBreak/>
              <w:t>non-payment by the Monitored Company of any financial indebtedness;</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any financial indebtedness of the Monitored Company becoming due as a result of an event of default; or</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cancellation or suspension of any financial indebtedness in respect of the Monitored Company</w:t>
            </w:r>
          </w:p>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 Guarantor] or any Key Subcontractor]</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rating agencies listed in Appendix 1.</w:t>
            </w:r>
          </w:p>
        </w:tc>
      </w:tr>
    </w:tbl>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11" w:name="_3o7alnk" w:colFirst="0" w:colLast="0"/>
      <w:bookmarkEnd w:id="11"/>
      <w:r>
        <w:rPr>
          <w:rFonts w:ascii="Arial Bold" w:eastAsia="Arial Bold" w:hAnsi="Arial Bold" w:cs="Arial Bold"/>
          <w:b/>
          <w:color w:val="000000"/>
          <w:sz w:val="24"/>
          <w:szCs w:val="24"/>
        </w:rPr>
        <w:t>When this Schedule applies</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Annex 5 in relation to the assessment of the financial standing of the Monitored Companies and the consequences of a change to that financial standing.</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 xml:space="preserve">    The terms of this Annex 5 shall survive: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Call-Off Contract until the termination or expiry of the Call-Off Contract.</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2" w:name="_23ckvvd" w:colFirst="0" w:colLast="0"/>
      <w:bookmarkEnd w:id="12"/>
      <w:r>
        <w:rPr>
          <w:rFonts w:ascii="Arial" w:eastAsia="Arial" w:hAnsi="Arial" w:cs="Arial"/>
          <w:color w:val="000000"/>
          <w:sz w:val="24"/>
          <w:szCs w:val="24"/>
        </w:rPr>
        <w:t xml:space="preserve">The Supplier warrants and represents to the Relevant Authority that as at the Start Date the long term credit ratings issued for the Monitored Companies by each of the Rating Agencies are as set out in Appendix 2. </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shall promptly (and in any event within five (5) Working Days) notify the Relevant Authority in writing if there is any downgrade in the credit rating issued by any Rating Agency for a Monitored Company.</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lastRenderedPageBreak/>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t>
      </w:r>
      <w:r>
        <w:rPr>
          <w:rFonts w:ascii="Arial" w:eastAsia="Arial" w:hAnsi="Arial" w:cs="Arial"/>
          <w:b/>
          <w:color w:val="000000"/>
          <w:sz w:val="24"/>
          <w:szCs w:val="24"/>
        </w:rPr>
        <w:t>check</w:t>
      </w:r>
      <w:r>
        <w:rPr>
          <w:rFonts w:ascii="Arial" w:eastAsia="Arial" w:hAnsi="Arial" w:cs="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B257D" w:rsidRDefault="00B81AC3">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extent cx="609600" cy="16319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0B257D" w:rsidRDefault="00B81AC3">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5"/>
        <w:tblW w:w="8317" w:type="dxa"/>
        <w:tblInd w:w="709" w:type="dxa"/>
        <w:tblLayout w:type="fixed"/>
        <w:tblLook w:val="0400" w:firstRow="0" w:lastRow="0" w:firstColumn="0" w:lastColumn="0" w:noHBand="0" w:noVBand="1"/>
      </w:tblPr>
      <w:tblGrid>
        <w:gridCol w:w="1524"/>
        <w:gridCol w:w="6793"/>
      </w:tblGrid>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proofErr w:type="gramStart"/>
            <w:r>
              <w:rPr>
                <w:rFonts w:ascii="Arial" w:eastAsia="Arial" w:hAnsi="Arial" w:cs="Arial"/>
                <w:color w:val="000000"/>
                <w:sz w:val="24"/>
                <w:szCs w:val="24"/>
              </w:rPr>
              <w:t>is</w:t>
            </w:r>
            <w:proofErr w:type="gramEnd"/>
            <w:r>
              <w:rPr>
                <w:rFonts w:ascii="Arial" w:eastAsia="Arial" w:hAnsi="Arial" w:cs="Arial"/>
                <w:color w:val="000000"/>
                <w:sz w:val="24"/>
                <w:szCs w:val="24"/>
              </w:rPr>
              <w:t xml:space="preserve"> the value at the relevant date of the current liabilities of the Monitored Company].</w:t>
            </w:r>
          </w:p>
        </w:tc>
      </w:tr>
    </w:tbl>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3" w:name="_ihv636" w:colFirst="0" w:colLast="0"/>
      <w:bookmarkEnd w:id="13"/>
      <w:r>
        <w:rPr>
          <w:rFonts w:ascii="Arial" w:eastAsia="Arial" w:hAnsi="Arial" w:cs="Arial"/>
          <w:color w:val="000000"/>
          <w:sz w:val="24"/>
          <w:szCs w:val="24"/>
        </w:rPr>
        <w:t xml:space="preserve">The Supplier shall: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4" w:name="_32hioqz" w:colFirst="0" w:colLast="0"/>
      <w:bookmarkEnd w:id="14"/>
      <w:r>
        <w:rPr>
          <w:rFonts w:ascii="Arial" w:eastAsia="Arial" w:hAnsi="Arial" w:cs="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there is a financial distress event</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5" w:name="_1hmsyys" w:colFirst="0" w:colLast="0"/>
      <w:bookmarkEnd w:id="15"/>
      <w:r>
        <w:rPr>
          <w:rFonts w:ascii="Arial" w:eastAsia="Arial" w:hAnsi="Arial" w:cs="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B257D" w:rsidRDefault="00B81AC3">
      <w:pPr>
        <w:pBdr>
          <w:top w:val="nil"/>
          <w:left w:val="nil"/>
          <w:bottom w:val="nil"/>
          <w:right w:val="nil"/>
          <w:between w:val="nil"/>
        </w:pBdr>
        <w:tabs>
          <w:tab w:val="left" w:pos="1134"/>
        </w:tabs>
        <w:spacing w:before="120" w:after="120"/>
        <w:ind w:left="936" w:hanging="1004"/>
        <w:jc w:val="left"/>
        <w:rPr>
          <w:rFonts w:ascii="Arial" w:eastAsia="Arial" w:hAnsi="Arial" w:cs="Arial"/>
          <w:color w:val="000000"/>
          <w:sz w:val="24"/>
          <w:szCs w:val="24"/>
        </w:rPr>
      </w:pPr>
      <w:bookmarkStart w:id="16" w:name="_41mghml" w:colFirst="0" w:colLast="0"/>
      <w:bookmarkEnd w:id="16"/>
      <w:r>
        <w:rPr>
          <w:rFonts w:ascii="Arial" w:eastAsia="Arial" w:hAnsi="Arial" w:cs="Arial"/>
          <w:b/>
          <w:color w:val="000000"/>
          <w:sz w:val="24"/>
          <w:szCs w:val="24"/>
          <w:highlight w:val="yellow"/>
        </w:rPr>
        <w:t>[Guidance</w:t>
      </w:r>
      <w:r>
        <w:rPr>
          <w:rFonts w:ascii="Arial" w:eastAsia="Arial" w:hAnsi="Arial" w:cs="Arial"/>
          <w:color w:val="000000"/>
          <w:sz w:val="24"/>
          <w:szCs w:val="24"/>
        </w:rPr>
        <w:t>: delete this clause if there are no Key Subcontractors or the Key Subcontractors are not</w:t>
      </w:r>
      <w:bookmarkStart w:id="17" w:name="2grqrue" w:colFirst="0" w:colLast="0"/>
      <w:bookmarkEnd w:id="17"/>
      <w:r>
        <w:rPr>
          <w:rFonts w:ascii="Arial" w:eastAsia="Arial" w:hAnsi="Arial" w:cs="Arial"/>
          <w:color w:val="000000"/>
          <w:sz w:val="24"/>
          <w:szCs w:val="24"/>
        </w:rPr>
        <w:t xml:space="preserve"> Monitored Company]</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demonstrate to the Relevant Authority's reasonable satisfaction that there is a valid reason for late or non-payment.]</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8" w:name="_vx1227" w:colFirst="0" w:colLast="0"/>
      <w:bookmarkEnd w:id="18"/>
      <w:r>
        <w:rPr>
          <w:rFonts w:ascii="Arial" w:eastAsia="Arial" w:hAnsi="Arial" w:cs="Arial"/>
          <w:color w:val="000000"/>
          <w:sz w:val="24"/>
          <w:szCs w:val="24"/>
        </w:rPr>
        <w:t>The Supplier shall and shall procure that the other Monitored Companies shall:</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9" w:name="_3fwokq0" w:colFirst="0" w:colLast="0"/>
      <w:bookmarkEnd w:id="19"/>
      <w:r>
        <w:rPr>
          <w:rFonts w:ascii="Arial" w:eastAsia="Arial" w:hAnsi="Arial" w:cs="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0" w:name="_1v1yuxt" w:colFirst="0" w:colLast="0"/>
      <w:bookmarkEnd w:id="20"/>
      <w:r>
        <w:rPr>
          <w:rFonts w:ascii="Arial" w:eastAsia="Arial" w:hAnsi="Arial" w:cs="Arial"/>
          <w:color w:val="000000"/>
          <w:sz w:val="24"/>
          <w:szCs w:val="24"/>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B257D" w:rsidRDefault="00B81AC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0B257D" w:rsidRDefault="00B81AC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1" w:name="_4f1mdlm" w:colFirst="0" w:colLast="0"/>
      <w:bookmarkEnd w:id="21"/>
      <w:r>
        <w:rPr>
          <w:rFonts w:ascii="Arial" w:eastAsia="Arial" w:hAnsi="Arial" w:cs="Arial"/>
          <w:color w:val="000000"/>
          <w:sz w:val="24"/>
          <w:szCs w:val="24"/>
        </w:rPr>
        <w:t>provide such financial information relating to the Monitored Company as the Relevant Authority may reasonably require.</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2" w:name="_2u6wntf" w:colFirst="0" w:colLast="0"/>
      <w:bookmarkEnd w:id="22"/>
      <w:r>
        <w:rPr>
          <w:rFonts w:ascii="Arial" w:eastAsia="Arial" w:hAnsi="Arial" w:cs="Arial"/>
          <w:color w:val="000000"/>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w:t>
      </w:r>
      <w:r>
        <w:rPr>
          <w:rFonts w:ascii="Arial" w:eastAsia="Arial" w:hAnsi="Arial" w:cs="Arial"/>
          <w:color w:val="000000"/>
          <w:sz w:val="24"/>
          <w:szCs w:val="24"/>
        </w:rPr>
        <w:lastRenderedPageBreak/>
        <w:t>the rejection of the first or subsequent (as the case may be) drafts. This process shall be repeated until the Financial Distress Service Continuity Plan is Approved by the Relevant Authority or referred to the Dispute Resolution Procedure.</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3" w:name="_19c6y18" w:colFirst="0" w:colLast="0"/>
      <w:bookmarkEnd w:id="23"/>
      <w:r>
        <w:rPr>
          <w:rFonts w:ascii="Arial" w:eastAsia="Arial" w:hAnsi="Arial" w:cs="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4" w:name="_3tbugp1" w:colFirst="0" w:colLast="0"/>
      <w:bookmarkEnd w:id="24"/>
      <w:r>
        <w:rPr>
          <w:rFonts w:ascii="Arial" w:eastAsia="Arial" w:hAnsi="Arial" w:cs="Arial"/>
          <w:color w:val="000000"/>
          <w:sz w:val="24"/>
          <w:szCs w:val="24"/>
        </w:rPr>
        <w:t>Following Approval of the Financial Distress Service Continuity Plan by the Relevant Authority, the Supplier shall:</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5" w:name="_28h4qwu" w:colFirst="0" w:colLast="0"/>
      <w:bookmarkEnd w:id="25"/>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6" w:name="_nmf14n" w:colFirst="0" w:colLast="0"/>
      <w:bookmarkEnd w:id="26"/>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7" w:name="_37m2jsg" w:colFirst="0" w:colLast="0"/>
      <w:bookmarkEnd w:id="27"/>
      <w:r>
        <w:rPr>
          <w:rFonts w:ascii="Arial" w:eastAsia="Arial" w:hAnsi="Arial" w:cs="Arial"/>
          <w:color w:val="000000"/>
          <w:sz w:val="24"/>
          <w:szCs w:val="24"/>
        </w:rPr>
        <w:t>comply with the Financial Distress Service Continuity Plan (including any updated Financial Distress Service Continuity Plan).</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8" w:name="_1mrcu09" w:colFirst="0" w:colLast="0"/>
      <w:bookmarkEnd w:id="28"/>
      <w:r>
        <w:rPr>
          <w:rFonts w:ascii="Arial" w:eastAsia="Arial" w:hAnsi="Arial" w:cs="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9" w:name="_46r0co2" w:colFirst="0" w:colLast="0"/>
      <w:bookmarkEnd w:id="29"/>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fails to notify the Relevant Authority of a Financial Distress Event in accordance with Paragraph 3.4;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Relevant Authority and the Supplier fail to agree a Financial Distress Service Continuity Plan (or any updated Financial Distress Service Continuity Plan) in accordance with Paragraphs 4.3 to 4.5; and/or</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the Supplier fails to comply with the terms of the Financial Distress Service Continuity Plan (or any updated Financial Distress Service Continuity Plan) in accordance with Paragraph 4.6.3.</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30" w:name="_2lwamvv" w:colFirst="0" w:colLast="0"/>
      <w:bookmarkEnd w:id="30"/>
      <w:r>
        <w:rPr>
          <w:rFonts w:ascii="Arial Bold" w:eastAsia="Arial Bold" w:hAnsi="Arial Bold" w:cs="Arial Bold"/>
          <w:b/>
          <w:color w:val="000000"/>
          <w:sz w:val="24"/>
          <w:szCs w:val="24"/>
        </w:rPr>
        <w:t>What happens If your credit rating is still good</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 Paragraphs 4.3 to 4.6;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Relevant Authority shall not be entitled to require the Supplier to provide financial information in accordance with Paragraph 4.3.2(b). </w:t>
      </w:r>
    </w:p>
    <w:p w:rsidR="000B257D" w:rsidRDefault="000B257D"/>
    <w:p w:rsidR="000B257D" w:rsidRDefault="000B257D">
      <w:pPr>
        <w:pBdr>
          <w:top w:val="nil"/>
          <w:left w:val="nil"/>
          <w:bottom w:val="nil"/>
          <w:right w:val="nil"/>
          <w:between w:val="nil"/>
        </w:pBdr>
        <w:spacing w:after="0"/>
        <w:jc w:val="left"/>
        <w:rPr>
          <w:rFonts w:ascii="Arial" w:eastAsia="Arial" w:hAnsi="Arial" w:cs="Arial"/>
          <w:color w:val="FFFFFF"/>
          <w:sz w:val="24"/>
          <w:szCs w:val="24"/>
        </w:rPr>
      </w:pPr>
      <w:bookmarkStart w:id="31" w:name="_4i7ojhp" w:colFirst="0" w:colLast="0"/>
      <w:bookmarkEnd w:id="31"/>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2" w:name="_111kx3o" w:colFirst="0" w:colLast="0"/>
      <w:bookmarkEnd w:id="32"/>
      <w:r>
        <w:br w:type="page"/>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33" w:name="_3l18frh" w:colFirst="0" w:colLast="0"/>
      <w:bookmarkEnd w:id="33"/>
      <w:r>
        <w:rPr>
          <w:rFonts w:ascii="Arial" w:eastAsia="Arial" w:hAnsi="Arial" w:cs="Arial"/>
          <w:b/>
          <w:smallCaps/>
          <w:color w:val="000000"/>
          <w:sz w:val="36"/>
          <w:szCs w:val="36"/>
        </w:rPr>
        <w:lastRenderedPageBreak/>
        <w:t>Appendix 1: RATING AGENCIES</w:t>
      </w:r>
    </w:p>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[Rating Agency 1]</w:t>
      </w:r>
    </w:p>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[Rating Agency 2]</w:t>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4" w:name="_206ipza" w:colFirst="0" w:colLast="0"/>
      <w:bookmarkEnd w:id="34"/>
      <w:r>
        <w:br w:type="page"/>
      </w:r>
      <w:r>
        <w:rPr>
          <w:rFonts w:ascii="Arial" w:eastAsia="Arial" w:hAnsi="Arial" w:cs="Arial"/>
          <w:b/>
          <w:smallCaps/>
          <w:color w:val="000000"/>
          <w:sz w:val="36"/>
          <w:szCs w:val="36"/>
        </w:rPr>
        <w:lastRenderedPageBreak/>
        <w:t>Appendix 2: CREDIT RATINGS &amp; CREDIT RATING THRESHOLDS</w:t>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0B257D">
        <w:trPr>
          <w:gridAfter w:val="1"/>
          <w:wAfter w:w="7" w:type="dxa"/>
        </w:trPr>
        <w:tc>
          <w:tcPr>
            <w:tcW w:w="3080"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8" w:type="dxa"/>
            <w:gridSpan w:val="2"/>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[Guarantor]</w:t>
            </w:r>
          </w:p>
        </w:tc>
        <w:tc>
          <w:tcPr>
            <w:tcW w:w="3088" w:type="dxa"/>
            <w:gridSpan w:val="2"/>
            <w:shd w:val="clear" w:color="auto" w:fill="FFFFFF"/>
          </w:tcPr>
          <w:p w:rsidR="000B257D" w:rsidRDefault="000B257D">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r w:rsidR="000B257D">
        <w:trPr>
          <w:gridAfter w:val="1"/>
          <w:wAfter w:w="7" w:type="dxa"/>
        </w:trPr>
        <w:tc>
          <w:tcPr>
            <w:tcW w:w="3080" w:type="dxa"/>
            <w:tcBorders>
              <w:bottom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0B257D" w:rsidRDefault="000B257D">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bl>
    <w:p w:rsidR="000B257D" w:rsidRDefault="000B257D">
      <w:pPr>
        <w:spacing w:after="0"/>
        <w:rPr>
          <w:rFonts w:ascii="Arial" w:eastAsia="Arial" w:hAnsi="Arial" w:cs="Arial"/>
          <w:sz w:val="24"/>
          <w:szCs w:val="24"/>
        </w:rPr>
      </w:pPr>
    </w:p>
    <w:p w:rsidR="000B257D" w:rsidRDefault="000B257D">
      <w:pPr>
        <w:spacing w:after="200" w:line="276" w:lineRule="auto"/>
        <w:jc w:val="left"/>
        <w:rPr>
          <w:rFonts w:ascii="Arial" w:eastAsia="Arial" w:hAnsi="Arial" w:cs="Arial"/>
          <w:sz w:val="24"/>
          <w:szCs w:val="24"/>
        </w:rPr>
      </w:pPr>
    </w:p>
    <w:sectPr w:rsidR="000B257D">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094" w:rsidRDefault="00536094">
      <w:pPr>
        <w:spacing w:after="0"/>
      </w:pPr>
      <w:r>
        <w:separator/>
      </w:r>
    </w:p>
  </w:endnote>
  <w:endnote w:type="continuationSeparator" w:id="0">
    <w:p w:rsidR="00536094" w:rsidRDefault="005360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AC3" w:rsidRDefault="00B81AC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955094">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B81AC3" w:rsidRDefault="00B81AC3">
    <w:pPr>
      <w:spacing w:after="0"/>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AC3" w:rsidRDefault="00B81AC3">
    <w:pPr>
      <w:tabs>
        <w:tab w:val="center" w:pos="4513"/>
        <w:tab w:val="right" w:pos="9026"/>
      </w:tabs>
      <w:spacing w:after="0"/>
      <w:rPr>
        <w:color w:val="BFBFBF"/>
      </w:rPr>
    </w:pPr>
    <w:r>
      <w:rPr>
        <w:color w:val="BFBFBF"/>
      </w:rPr>
      <w:t>Framework Ref: RM</w:t>
    </w:r>
    <w:r>
      <w:rPr>
        <w:color w:val="BFBFBF"/>
      </w:rPr>
      <w:tab/>
      <w:t xml:space="preserve">                                           </w:t>
    </w:r>
  </w:p>
  <w:p w:rsidR="00B81AC3" w:rsidRDefault="00B81AC3">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B81AC3" w:rsidRDefault="00B81AC3">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094" w:rsidRDefault="00536094">
      <w:pPr>
        <w:spacing w:after="0"/>
      </w:pPr>
      <w:r>
        <w:separator/>
      </w:r>
    </w:p>
  </w:footnote>
  <w:footnote w:type="continuationSeparator" w:id="0">
    <w:p w:rsidR="00536094" w:rsidRDefault="005360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C72B4"/>
    <w:multiLevelType w:val="multilevel"/>
    <w:tmpl w:val="5AF27A6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504BF9"/>
    <w:multiLevelType w:val="multilevel"/>
    <w:tmpl w:val="BF4C673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6A01C36"/>
    <w:multiLevelType w:val="multilevel"/>
    <w:tmpl w:val="F3FCB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9B263A5"/>
    <w:multiLevelType w:val="multilevel"/>
    <w:tmpl w:val="16286306"/>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57D"/>
    <w:rsid w:val="000608F5"/>
    <w:rsid w:val="000B257D"/>
    <w:rsid w:val="001B0803"/>
    <w:rsid w:val="001D0CF1"/>
    <w:rsid w:val="00280BD8"/>
    <w:rsid w:val="00380DCC"/>
    <w:rsid w:val="00446B8E"/>
    <w:rsid w:val="004A7CA9"/>
    <w:rsid w:val="004F1C47"/>
    <w:rsid w:val="00536094"/>
    <w:rsid w:val="0057460D"/>
    <w:rsid w:val="0059506D"/>
    <w:rsid w:val="00643CD7"/>
    <w:rsid w:val="006F70D4"/>
    <w:rsid w:val="00772525"/>
    <w:rsid w:val="00925C03"/>
    <w:rsid w:val="00955094"/>
    <w:rsid w:val="009717EF"/>
    <w:rsid w:val="00A5625B"/>
    <w:rsid w:val="00B309CD"/>
    <w:rsid w:val="00B81AC3"/>
    <w:rsid w:val="00DC55E9"/>
    <w:rsid w:val="00DD39DD"/>
    <w:rsid w:val="00FE02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A1993"/>
  <w15:docId w15:val="{FABEDBD6-AE9F-4332-926B-8574C732F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608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8F5"/>
    <w:rPr>
      <w:rFonts w:ascii="Segoe UI" w:hAnsi="Segoe UI" w:cs="Segoe UI"/>
      <w:sz w:val="18"/>
      <w:szCs w:val="18"/>
    </w:rPr>
  </w:style>
  <w:style w:type="paragraph" w:styleId="Revision">
    <w:name w:val="Revision"/>
    <w:hidden/>
    <w:uiPriority w:val="99"/>
    <w:semiHidden/>
    <w:rsid w:val="00DD39DD"/>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28</Pages>
  <Words>6803</Words>
  <Characters>38783</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Donna Wyatt</cp:lastModifiedBy>
  <cp:revision>6</cp:revision>
  <dcterms:created xsi:type="dcterms:W3CDTF">2022-05-05T17:37:00Z</dcterms:created>
  <dcterms:modified xsi:type="dcterms:W3CDTF">2022-10-28T10:52:00Z</dcterms:modified>
</cp:coreProperties>
</file>